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50"/>
          <w:pgMar w:top="0" w:bottom="0" w:left="0" w:right="0"/>
        </w:sectPr>
      </w:pPr>
    </w:p>
    <w:p>
      <w:pPr>
        <w:pStyle w:val="Heading1"/>
        <w:spacing w:before="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0</wp:posOffset>
                </wp:positionH>
                <wp:positionV relativeFrom="paragraph">
                  <wp:posOffset>-1507111</wp:posOffset>
                </wp:positionV>
                <wp:extent cx="7562850" cy="16294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2850" cy="1629410"/>
                          <a:chExt cx="7562850" cy="16294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397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62850" cy="162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line="240" w:lineRule="auto" w:before="306"/>
                                <w:rPr>
                                  <w:rFonts w:ascii="Arial MT"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42" w:right="0" w:firstLine="0"/>
                                <w:jc w:val="lef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MURIBROM</w:t>
                              </w:r>
                              <w:r>
                                <w:rPr>
                                  <w:b/>
                                  <w:color w:val="00AEAC"/>
                                  <w:spacing w:val="15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BROMADIOLONE</w:t>
                              </w:r>
                              <w:r>
                                <w:rPr>
                                  <w:b/>
                                  <w:color w:val="00AEAC"/>
                                  <w:spacing w:val="16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w w:val="90"/>
                                  <w:sz w:val="48"/>
                                </w:rPr>
                                <w:t>0,005</w:t>
                              </w:r>
                              <w:r>
                                <w:rPr>
                                  <w:b/>
                                  <w:color w:val="00AEAC"/>
                                  <w:spacing w:val="16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AEAC"/>
                                  <w:spacing w:val="-4"/>
                                  <w:w w:val="90"/>
                                  <w:sz w:val="48"/>
                                </w:rPr>
                                <w:t>BLOC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8.670197pt;width:595.5pt;height:128.3pt;mso-position-horizontal-relative:page;mso-position-vertical-relative:paragraph;z-index:-15811072" id="docshapegroup1" coordorigin="0,-2373" coordsize="11910,2566">
                <v:shape style="position:absolute;left:0;top:-2374;width:11910;height:2201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2374;width:11910;height:2566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line="240" w:lineRule="auto" w:before="306"/>
                          <w:rPr>
                            <w:rFonts w:ascii="Arial MT"/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342" w:right="0" w:firstLine="0"/>
                          <w:jc w:val="lef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MURIBROM</w:t>
                        </w:r>
                        <w:r>
                          <w:rPr>
                            <w:b/>
                            <w:color w:val="00AEAC"/>
                            <w:spacing w:val="15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BROMADIOLONE</w:t>
                        </w:r>
                        <w:r>
                          <w:rPr>
                            <w:b/>
                            <w:color w:val="00AEAC"/>
                            <w:spacing w:val="16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w w:val="90"/>
                            <w:sz w:val="48"/>
                          </w:rPr>
                          <w:t>0,005</w:t>
                        </w:r>
                        <w:r>
                          <w:rPr>
                            <w:b/>
                            <w:color w:val="00AEAC"/>
                            <w:spacing w:val="16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00AEAC"/>
                            <w:spacing w:val="-4"/>
                            <w:w w:val="90"/>
                            <w:sz w:val="48"/>
                          </w:rPr>
                          <w:t>BLOC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MURIBROM BROMADIOLONE 0,005 BLOC" w:id="1"/>
      <w:bookmarkEnd w:id="1"/>
      <w:r>
        <w:rPr>
          <w:b w:val="0"/>
        </w:rPr>
      </w:r>
      <w:bookmarkStart w:name="Opis: Przynęta rodentycydowa do zwalczan" w:id="2"/>
      <w:bookmarkEnd w:id="2"/>
      <w:r>
        <w:rPr>
          <w:b w:val="0"/>
        </w:rPr>
      </w:r>
      <w:bookmarkStart w:name="Właściwości:  • Blok o masie 20 g, zawie" w:id="3"/>
      <w:bookmarkEnd w:id="3"/>
      <w:r>
        <w:rPr>
          <w:b w:val="0"/>
        </w:rPr>
      </w:r>
      <w:bookmarkStart w:name="Szkodniki docelowe: Mysz domowa (Mus mus" w:id="4"/>
      <w:bookmarkEnd w:id="4"/>
      <w:r>
        <w:rPr>
          <w:b w:val="0"/>
        </w:rPr>
      </w:r>
      <w:bookmarkStart w:name="Środki ochrony osobistej:  Maska filtruj" w:id="5"/>
      <w:bookmarkEnd w:id="5"/>
      <w:r>
        <w:rPr>
          <w:b w:val="0"/>
        </w:rPr>
      </w:r>
      <w:bookmarkStart w:name="Właściwości fizykochemiczne: Stan fizycz" w:id="6"/>
      <w:bookmarkEnd w:id="6"/>
      <w:r>
        <w:rPr>
          <w:b w:val="0"/>
        </w:rPr>
      </w:r>
      <w:bookmarkStart w:name="Zastosowanie: Do stosowania w stacjach d" w:id="7"/>
      <w:bookmarkEnd w:id="7"/>
      <w:r>
        <w:rPr>
          <w:b w:val="0"/>
        </w:rPr>
      </w:r>
      <w:bookmarkStart w:name="Skład:" w:id="8"/>
      <w:bookmarkEnd w:id="8"/>
      <w:r>
        <w:rPr>
          <w:b w:val="0"/>
        </w:rPr>
      </w:r>
      <w:bookmarkStart w:name="Bromadiolon .......... 0,005%" w:id="9"/>
      <w:bookmarkEnd w:id="9"/>
      <w:r>
        <w:rPr>
          <w:b w:val="0"/>
        </w:rPr>
      </w:r>
      <w:bookmarkStart w:name="Dawkowanie:" w:id="10"/>
      <w:bookmarkEnd w:id="10"/>
      <w:r>
        <w:rPr>
          <w:b w:val="0"/>
        </w:rPr>
      </w:r>
      <w:bookmarkStart w:name="Opakowanie:" w:id="11"/>
      <w:bookmarkEnd w:id="11"/>
      <w:r>
        <w:rPr>
          <w:b w:val="0"/>
        </w:rPr>
      </w:r>
      <w:bookmarkStart w:name="15 kg" w:id="12"/>
      <w:bookmarkEnd w:id="12"/>
      <w:r>
        <w:rPr>
          <w:b w:val="0"/>
        </w:rPr>
      </w:r>
      <w:bookmarkStart w:name="RegistrationNo.: ES/AA-2018-14-00206" w:id="13"/>
      <w:bookmarkEnd w:id="13"/>
      <w:r>
        <w:rPr>
          <w:b w:val="0"/>
        </w:rPr>
      </w:r>
      <w:bookmarkStart w:name="Sposób użycia: WEWNĄTRZ POMIESZCZEŃ: Szc" w:id="14"/>
      <w:bookmarkEnd w:id="14"/>
      <w:r>
        <w:rPr>
          <w:b w:val="0"/>
        </w:rPr>
      </w:r>
      <w:bookmarkStart w:name="Przechowywanie:  Przechowywać zgodnie z " w:id="15"/>
      <w:bookmarkEnd w:id="15"/>
      <w:r>
        <w:rPr>
          <w:b w:val="0"/>
        </w:rPr>
      </w:r>
      <w:bookmarkStart w:name="T +34 94 674 10 85" w:id="16"/>
      <w:bookmarkEnd w:id="16"/>
      <w:r>
        <w:rPr>
          <w:b w:val="0"/>
        </w:rPr>
      </w:r>
      <w:bookmarkStart w:name="www.quimunsa.com" w:id="17"/>
      <w:bookmarkEnd w:id="17"/>
      <w:r>
        <w:rPr>
          <w:b w:val="0"/>
        </w:rPr>
      </w:r>
      <w:bookmarkStart w:name="Derio Bidea, 51 48100 Mungia. Vizcaya" w:id="18"/>
      <w:bookmarkEnd w:id="18"/>
      <w:r>
        <w:rPr>
          <w:b w:val="0"/>
        </w:rPr>
      </w:r>
      <w:bookmarkStart w:name="info@quimunsa.com" w:id="19"/>
      <w:bookmarkEnd w:id="19"/>
      <w:r>
        <w:rPr>
          <w:b w:val="0"/>
        </w:rPr>
      </w:r>
      <w:r>
        <w:rPr>
          <w:color w:val="00AEAC"/>
          <w:spacing w:val="-4"/>
          <w:w w:val="95"/>
        </w:rPr>
        <w:t>Opis:</w:t>
      </w:r>
    </w:p>
    <w:p>
      <w:pPr>
        <w:pStyle w:val="BodyText"/>
        <w:spacing w:line="264" w:lineRule="auto" w:before="34"/>
        <w:ind w:left="381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4287722</wp:posOffset>
            </wp:positionH>
            <wp:positionV relativeFrom="paragraph">
              <wp:posOffset>21591</wp:posOffset>
            </wp:positionV>
            <wp:extent cx="3275127" cy="217842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127" cy="2178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717"/>
        </w:rPr>
        <w:t>Przynęta</w:t>
      </w:r>
      <w:r>
        <w:rPr>
          <w:color w:val="131717"/>
          <w:spacing w:val="40"/>
        </w:rPr>
        <w:t> </w:t>
      </w:r>
      <w:r>
        <w:rPr>
          <w:color w:val="131717"/>
        </w:rPr>
        <w:t>rodentycydowa</w:t>
      </w:r>
      <w:r>
        <w:rPr>
          <w:color w:val="131717"/>
          <w:spacing w:val="40"/>
        </w:rPr>
        <w:t> </w:t>
      </w:r>
      <w:r>
        <w:rPr>
          <w:color w:val="131717"/>
        </w:rPr>
        <w:t>do</w:t>
      </w:r>
      <w:r>
        <w:rPr>
          <w:color w:val="131717"/>
          <w:spacing w:val="40"/>
        </w:rPr>
        <w:t> </w:t>
      </w:r>
      <w:r>
        <w:rPr>
          <w:color w:val="131717"/>
        </w:rPr>
        <w:t>zwalczania</w:t>
      </w:r>
      <w:r>
        <w:rPr>
          <w:color w:val="131717"/>
          <w:spacing w:val="40"/>
        </w:rPr>
        <w:t> </w:t>
      </w:r>
      <w:r>
        <w:rPr>
          <w:color w:val="131717"/>
        </w:rPr>
        <w:t>gryzoni.</w:t>
      </w:r>
      <w:r>
        <w:rPr>
          <w:color w:val="131717"/>
          <w:spacing w:val="40"/>
        </w:rPr>
        <w:t> </w:t>
      </w:r>
      <w:r>
        <w:rPr>
          <w:color w:val="131717"/>
        </w:rPr>
        <w:t>Gotowy</w:t>
      </w:r>
      <w:r>
        <w:rPr>
          <w:color w:val="131717"/>
          <w:spacing w:val="40"/>
        </w:rPr>
        <w:t> </w:t>
      </w:r>
      <w:r>
        <w:rPr>
          <w:color w:val="131717"/>
        </w:rPr>
        <w:t>do</w:t>
      </w:r>
      <w:r>
        <w:rPr>
          <w:color w:val="131717"/>
          <w:spacing w:val="40"/>
        </w:rPr>
        <w:t> </w:t>
      </w:r>
      <w:r>
        <w:rPr>
          <w:color w:val="131717"/>
        </w:rPr>
        <w:t>użycia</w:t>
      </w:r>
      <w:r>
        <w:rPr>
          <w:color w:val="131717"/>
          <w:spacing w:val="40"/>
        </w:rPr>
        <w:t> </w:t>
      </w:r>
      <w:r>
        <w:rPr>
          <w:color w:val="131717"/>
        </w:rPr>
        <w:t>blok </w:t>
      </w:r>
      <w:r>
        <w:rPr>
          <w:color w:val="131717"/>
          <w:spacing w:val="-2"/>
        </w:rPr>
        <w:t>woskowy.</w:t>
      </w:r>
    </w:p>
    <w:p>
      <w:pPr>
        <w:pStyle w:val="BodyText"/>
        <w:spacing w:before="17"/>
      </w:pPr>
    </w:p>
    <w:p>
      <w:pPr>
        <w:pStyle w:val="Heading1"/>
        <w:spacing w:before="1"/>
      </w:pPr>
      <w:r>
        <w:rPr>
          <w:color w:val="00AEAC"/>
          <w:spacing w:val="-2"/>
        </w:rPr>
        <w:t>Właściwości: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33" w:after="0"/>
        <w:ind w:left="512" w:right="0" w:hanging="88"/>
        <w:jc w:val="left"/>
        <w:rPr>
          <w:sz w:val="16"/>
        </w:rPr>
      </w:pPr>
      <w:r>
        <w:rPr>
          <w:color w:val="131717"/>
          <w:spacing w:val="-4"/>
          <w:sz w:val="16"/>
        </w:rPr>
        <w:t>Blok</w:t>
      </w:r>
      <w:r>
        <w:rPr>
          <w:color w:val="131717"/>
          <w:spacing w:val="-9"/>
          <w:sz w:val="16"/>
        </w:rPr>
        <w:t> </w:t>
      </w:r>
      <w:r>
        <w:rPr>
          <w:color w:val="131717"/>
          <w:spacing w:val="-4"/>
          <w:sz w:val="16"/>
        </w:rPr>
        <w:t>o</w:t>
      </w:r>
      <w:r>
        <w:rPr>
          <w:color w:val="131717"/>
          <w:spacing w:val="-9"/>
          <w:sz w:val="16"/>
        </w:rPr>
        <w:t> </w:t>
      </w:r>
      <w:r>
        <w:rPr>
          <w:color w:val="131717"/>
          <w:spacing w:val="-4"/>
          <w:sz w:val="16"/>
        </w:rPr>
        <w:t>masie</w:t>
      </w:r>
      <w:r>
        <w:rPr>
          <w:color w:val="131717"/>
          <w:spacing w:val="-9"/>
          <w:sz w:val="16"/>
        </w:rPr>
        <w:t> </w:t>
      </w:r>
      <w:r>
        <w:rPr>
          <w:color w:val="131717"/>
          <w:spacing w:val="-4"/>
          <w:sz w:val="16"/>
        </w:rPr>
        <w:t>20</w:t>
      </w:r>
      <w:r>
        <w:rPr>
          <w:color w:val="131717"/>
          <w:spacing w:val="-8"/>
          <w:sz w:val="16"/>
        </w:rPr>
        <w:t> </w:t>
      </w:r>
      <w:r>
        <w:rPr>
          <w:color w:val="131717"/>
          <w:spacing w:val="-4"/>
          <w:sz w:val="16"/>
        </w:rPr>
        <w:t>g,</w:t>
      </w:r>
      <w:r>
        <w:rPr>
          <w:color w:val="131717"/>
          <w:spacing w:val="-9"/>
          <w:sz w:val="16"/>
        </w:rPr>
        <w:t> </w:t>
      </w:r>
      <w:r>
        <w:rPr>
          <w:color w:val="131717"/>
          <w:spacing w:val="-4"/>
          <w:sz w:val="16"/>
        </w:rPr>
        <w:t>zawierający</w:t>
      </w:r>
      <w:r>
        <w:rPr>
          <w:color w:val="131717"/>
          <w:spacing w:val="-9"/>
          <w:sz w:val="16"/>
        </w:rPr>
        <w:t> </w:t>
      </w:r>
      <w:r>
        <w:rPr>
          <w:color w:val="131717"/>
          <w:spacing w:val="-4"/>
          <w:sz w:val="16"/>
        </w:rPr>
        <w:t>0,005%</w:t>
      </w:r>
      <w:r>
        <w:rPr>
          <w:color w:val="131717"/>
          <w:spacing w:val="-8"/>
          <w:sz w:val="16"/>
        </w:rPr>
        <w:t> </w:t>
      </w:r>
      <w:r>
        <w:rPr>
          <w:color w:val="131717"/>
          <w:spacing w:val="-4"/>
          <w:sz w:val="16"/>
        </w:rPr>
        <w:t>bromadiolonu.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64" w:lineRule="auto" w:before="19" w:after="0"/>
        <w:ind w:left="381" w:right="0" w:firstLine="81"/>
        <w:jc w:val="left"/>
        <w:rPr>
          <w:sz w:val="16"/>
        </w:rPr>
      </w:pPr>
      <w:r>
        <w:rPr>
          <w:color w:val="131717"/>
          <w:sz w:val="16"/>
        </w:rPr>
        <w:t>Bromadiolon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działa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po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jednorazowym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pobraniu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i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jest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skuteczny</w:t>
      </w:r>
      <w:r>
        <w:rPr>
          <w:color w:val="131717"/>
          <w:spacing w:val="36"/>
          <w:sz w:val="16"/>
        </w:rPr>
        <w:t> </w:t>
      </w:r>
      <w:r>
        <w:rPr>
          <w:color w:val="131717"/>
          <w:sz w:val="16"/>
        </w:rPr>
        <w:t>wobec gryzoni odpornych na standardowe rodentycydy.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193" w:lineRule="exact" w:before="0" w:after="0"/>
        <w:ind w:left="512" w:right="0" w:hanging="88"/>
        <w:jc w:val="left"/>
        <w:rPr>
          <w:sz w:val="16"/>
        </w:rPr>
      </w:pPr>
      <w:r>
        <w:rPr>
          <w:color w:val="131717"/>
          <w:sz w:val="16"/>
        </w:rPr>
        <w:t>Idealny</w:t>
      </w:r>
      <w:r>
        <w:rPr>
          <w:color w:val="131717"/>
          <w:spacing w:val="-8"/>
          <w:sz w:val="16"/>
        </w:rPr>
        <w:t> </w:t>
      </w:r>
      <w:r>
        <w:rPr>
          <w:color w:val="131717"/>
          <w:sz w:val="16"/>
        </w:rPr>
        <w:t>do</w:t>
      </w:r>
      <w:r>
        <w:rPr>
          <w:color w:val="131717"/>
          <w:spacing w:val="-8"/>
          <w:sz w:val="16"/>
        </w:rPr>
        <w:t> </w:t>
      </w:r>
      <w:r>
        <w:rPr>
          <w:color w:val="131717"/>
          <w:sz w:val="16"/>
        </w:rPr>
        <w:t>intensywnego</w:t>
      </w:r>
      <w:r>
        <w:rPr>
          <w:color w:val="131717"/>
          <w:spacing w:val="-8"/>
          <w:sz w:val="16"/>
        </w:rPr>
        <w:t> </w:t>
      </w:r>
      <w:r>
        <w:rPr>
          <w:color w:val="131717"/>
          <w:sz w:val="16"/>
        </w:rPr>
        <w:t>zwalczania</w:t>
      </w:r>
      <w:r>
        <w:rPr>
          <w:color w:val="131717"/>
          <w:spacing w:val="-7"/>
          <w:sz w:val="16"/>
        </w:rPr>
        <w:t> </w:t>
      </w:r>
      <w:r>
        <w:rPr>
          <w:color w:val="131717"/>
          <w:sz w:val="16"/>
        </w:rPr>
        <w:t>przy</w:t>
      </w:r>
      <w:r>
        <w:rPr>
          <w:color w:val="131717"/>
          <w:spacing w:val="-8"/>
          <w:sz w:val="16"/>
        </w:rPr>
        <w:t> </w:t>
      </w:r>
      <w:r>
        <w:rPr>
          <w:color w:val="131717"/>
          <w:sz w:val="16"/>
        </w:rPr>
        <w:t>dużym</w:t>
      </w:r>
      <w:r>
        <w:rPr>
          <w:color w:val="131717"/>
          <w:spacing w:val="-8"/>
          <w:sz w:val="16"/>
        </w:rPr>
        <w:t> </w:t>
      </w:r>
      <w:r>
        <w:rPr>
          <w:color w:val="131717"/>
          <w:sz w:val="16"/>
        </w:rPr>
        <w:t>nasileniu</w:t>
      </w:r>
      <w:r>
        <w:rPr>
          <w:color w:val="131717"/>
          <w:spacing w:val="-7"/>
          <w:sz w:val="16"/>
        </w:rPr>
        <w:t> </w:t>
      </w:r>
      <w:r>
        <w:rPr>
          <w:color w:val="131717"/>
          <w:spacing w:val="-2"/>
          <w:sz w:val="16"/>
        </w:rPr>
        <w:t>infestacji.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64" w:lineRule="auto" w:before="19" w:after="0"/>
        <w:ind w:left="381" w:right="0" w:firstLine="62"/>
        <w:jc w:val="left"/>
        <w:rPr>
          <w:sz w:val="16"/>
        </w:rPr>
      </w:pPr>
      <w:r>
        <w:rPr>
          <w:color w:val="131717"/>
          <w:sz w:val="16"/>
        </w:rPr>
        <w:t>Atrakcyjne składniki zawarte w formulacji są wykrywane przez gryzonie </w:t>
      </w:r>
      <w:r>
        <w:rPr>
          <w:color w:val="131717"/>
          <w:sz w:val="16"/>
        </w:rPr>
        <w:t>z dużej</w:t>
      </w:r>
      <w:r>
        <w:rPr>
          <w:color w:val="131717"/>
          <w:spacing w:val="-14"/>
          <w:sz w:val="16"/>
        </w:rPr>
        <w:t> </w:t>
      </w:r>
      <w:r>
        <w:rPr>
          <w:color w:val="131717"/>
          <w:sz w:val="16"/>
        </w:rPr>
        <w:t>odległości.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193" w:lineRule="exact" w:before="0" w:after="0"/>
        <w:ind w:left="512" w:right="0" w:hanging="88"/>
        <w:jc w:val="left"/>
        <w:rPr>
          <w:sz w:val="16"/>
        </w:rPr>
      </w:pPr>
      <w:r>
        <w:rPr>
          <w:color w:val="131717"/>
          <w:spacing w:val="-2"/>
          <w:sz w:val="16"/>
        </w:rPr>
        <w:t>Śmiertelny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efekt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w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100%</w:t>
      </w:r>
      <w:r>
        <w:rPr>
          <w:color w:val="131717"/>
          <w:spacing w:val="-5"/>
          <w:sz w:val="16"/>
        </w:rPr>
        <w:t> </w:t>
      </w:r>
      <w:r>
        <w:rPr>
          <w:color w:val="131717"/>
          <w:spacing w:val="-2"/>
          <w:sz w:val="16"/>
        </w:rPr>
        <w:t>przypadków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po</w:t>
      </w:r>
      <w:r>
        <w:rPr>
          <w:color w:val="131717"/>
          <w:spacing w:val="-6"/>
          <w:sz w:val="16"/>
        </w:rPr>
        <w:t> </w:t>
      </w:r>
      <w:r>
        <w:rPr>
          <w:color w:val="131717"/>
          <w:spacing w:val="-2"/>
          <w:sz w:val="16"/>
        </w:rPr>
        <w:t>jednorazowym</w:t>
      </w:r>
      <w:r>
        <w:rPr>
          <w:color w:val="131717"/>
          <w:spacing w:val="-5"/>
          <w:sz w:val="16"/>
        </w:rPr>
        <w:t> </w:t>
      </w:r>
      <w:r>
        <w:rPr>
          <w:color w:val="131717"/>
          <w:spacing w:val="-2"/>
          <w:sz w:val="16"/>
        </w:rPr>
        <w:t>spożyciu.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64" w:lineRule="auto" w:before="19" w:after="0"/>
        <w:ind w:left="381" w:right="0" w:firstLine="75"/>
        <w:jc w:val="left"/>
        <w:rPr>
          <w:sz w:val="16"/>
        </w:rPr>
      </w:pPr>
      <w:r>
        <w:rPr>
          <w:color w:val="131717"/>
          <w:sz w:val="16"/>
        </w:rPr>
        <w:t>Aby zapobiec przypadkowemu spożyciu przynęty, do formulacji </w:t>
      </w:r>
      <w:r>
        <w:rPr>
          <w:color w:val="131717"/>
          <w:sz w:val="16"/>
        </w:rPr>
        <w:t>dodano</w:t>
      </w:r>
      <w:r>
        <w:rPr>
          <w:color w:val="131717"/>
          <w:spacing w:val="40"/>
          <w:sz w:val="16"/>
        </w:rPr>
        <w:t> </w:t>
      </w:r>
      <w:r>
        <w:rPr>
          <w:color w:val="131717"/>
          <w:sz w:val="16"/>
        </w:rPr>
        <w:t>substancję o gorzkim smaku, niewyczuwalną dla gryzoni.</w:t>
      </w:r>
    </w:p>
    <w:p>
      <w:pPr>
        <w:pStyle w:val="BodyText"/>
        <w:spacing w:before="17"/>
      </w:pPr>
    </w:p>
    <w:p>
      <w:pPr>
        <w:pStyle w:val="Heading1"/>
        <w:spacing w:before="1"/>
      </w:pPr>
      <w:r>
        <w:rPr>
          <w:color w:val="00AEAC"/>
          <w:w w:val="90"/>
        </w:rPr>
        <w:t>Szkodniki</w:t>
      </w:r>
      <w:r>
        <w:rPr>
          <w:color w:val="00AEAC"/>
          <w:spacing w:val="12"/>
        </w:rPr>
        <w:t> </w:t>
      </w:r>
      <w:r>
        <w:rPr>
          <w:color w:val="00AEAC"/>
          <w:spacing w:val="-2"/>
        </w:rPr>
        <w:t>docelowe:</w:t>
      </w:r>
    </w:p>
    <w:p>
      <w:pPr>
        <w:pStyle w:val="BodyText"/>
        <w:spacing w:before="33"/>
        <w:ind w:left="381"/>
        <w:jc w:val="both"/>
      </w:pPr>
      <w:r>
        <w:rPr>
          <w:color w:val="131717"/>
        </w:rPr>
        <w:t>Mysz</w:t>
      </w:r>
      <w:r>
        <w:rPr>
          <w:color w:val="131717"/>
          <w:spacing w:val="-4"/>
        </w:rPr>
        <w:t> </w:t>
      </w:r>
      <w:r>
        <w:rPr>
          <w:color w:val="131717"/>
        </w:rPr>
        <w:t>domowa</w:t>
      </w:r>
      <w:r>
        <w:rPr>
          <w:color w:val="131717"/>
          <w:spacing w:val="-4"/>
        </w:rPr>
        <w:t> </w:t>
      </w:r>
      <w:r>
        <w:rPr>
          <w:color w:val="131717"/>
        </w:rPr>
        <w:t>(Mus</w:t>
      </w:r>
      <w:r>
        <w:rPr>
          <w:color w:val="131717"/>
          <w:spacing w:val="-4"/>
        </w:rPr>
        <w:t> </w:t>
      </w:r>
      <w:r>
        <w:rPr>
          <w:color w:val="131717"/>
          <w:spacing w:val="-2"/>
        </w:rPr>
        <w:t>musculus)</w:t>
      </w:r>
    </w:p>
    <w:p>
      <w:pPr>
        <w:pStyle w:val="BodyText"/>
        <w:spacing w:before="19"/>
        <w:ind w:left="381"/>
        <w:jc w:val="both"/>
      </w:pPr>
      <w:r>
        <w:rPr>
          <w:color w:val="131717"/>
          <w:spacing w:val="-2"/>
        </w:rPr>
        <w:t>Szczur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wędrowny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/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szczur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kanałowy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(Rattus</w:t>
      </w:r>
      <w:r>
        <w:rPr>
          <w:color w:val="131717"/>
          <w:spacing w:val="-6"/>
        </w:rPr>
        <w:t> </w:t>
      </w:r>
      <w:r>
        <w:rPr>
          <w:color w:val="131717"/>
          <w:spacing w:val="-2"/>
        </w:rPr>
        <w:t>norvegicus)</w:t>
      </w:r>
    </w:p>
    <w:p>
      <w:pPr>
        <w:pStyle w:val="BodyText"/>
        <w:spacing w:before="38"/>
      </w:pPr>
    </w:p>
    <w:p>
      <w:pPr>
        <w:spacing w:before="0"/>
        <w:ind w:left="381" w:right="0" w:firstLine="0"/>
        <w:jc w:val="both"/>
        <w:rPr>
          <w:b/>
          <w:sz w:val="16"/>
        </w:rPr>
      </w:pPr>
      <w:r>
        <w:rPr>
          <w:b/>
          <w:color w:val="00AEAC"/>
          <w:w w:val="90"/>
          <w:sz w:val="16"/>
        </w:rPr>
        <w:t>Środki</w:t>
      </w:r>
      <w:r>
        <w:rPr>
          <w:b/>
          <w:color w:val="00AEAC"/>
          <w:spacing w:val="2"/>
          <w:sz w:val="16"/>
        </w:rPr>
        <w:t> </w:t>
      </w:r>
      <w:r>
        <w:rPr>
          <w:b/>
          <w:color w:val="00AEAC"/>
          <w:w w:val="90"/>
          <w:sz w:val="16"/>
        </w:rPr>
        <w:t>ochrony</w:t>
      </w:r>
      <w:r>
        <w:rPr>
          <w:b/>
          <w:color w:val="00AEAC"/>
          <w:spacing w:val="3"/>
          <w:sz w:val="16"/>
        </w:rPr>
        <w:t> </w:t>
      </w:r>
      <w:r>
        <w:rPr>
          <w:b/>
          <w:color w:val="00AEAC"/>
          <w:spacing w:val="-2"/>
          <w:w w:val="90"/>
          <w:sz w:val="16"/>
        </w:rPr>
        <w:t>osobistej:</w:t>
      </w:r>
    </w:p>
    <w:p>
      <w:pPr>
        <w:pStyle w:val="BodyText"/>
        <w:spacing w:line="264" w:lineRule="auto" w:before="19"/>
        <w:ind w:left="381" w:firstLine="120"/>
        <w:jc w:val="both"/>
      </w:pPr>
      <w:r>
        <w:rPr>
          <w:color w:val="131717"/>
        </w:rPr>
        <w:t>Maska filtrująca chroniąca przed gazami i cząstkami. </w:t>
      </w:r>
      <w:r>
        <w:rPr>
          <w:color w:val="131717"/>
        </w:rPr>
        <w:t>Chemoodporne rękawice ochronne wielokrotnego użytku. Chemoodporna odzież ochronna. Obuwie ochronne odporne na działanie substancji chemicznych i o właściwościach</w:t>
      </w:r>
      <w:r>
        <w:rPr>
          <w:color w:val="131717"/>
          <w:spacing w:val="-14"/>
        </w:rPr>
        <w:t> </w:t>
      </w:r>
      <w:r>
        <w:rPr>
          <w:color w:val="131717"/>
        </w:rPr>
        <w:t>antystatycznych.</w:t>
      </w:r>
    </w:p>
    <w:p>
      <w:pPr>
        <w:pStyle w:val="BodyText"/>
        <w:spacing w:before="17"/>
      </w:pPr>
    </w:p>
    <w:p>
      <w:pPr>
        <w:pStyle w:val="Heading1"/>
      </w:pPr>
      <w:r>
        <w:rPr>
          <w:color w:val="00AEAC"/>
          <w:w w:val="90"/>
        </w:rPr>
        <w:t>Właściwości</w:t>
      </w:r>
      <w:r>
        <w:rPr>
          <w:color w:val="00AEAC"/>
          <w:spacing w:val="28"/>
        </w:rPr>
        <w:t> </w:t>
      </w:r>
      <w:r>
        <w:rPr>
          <w:color w:val="00AEAC"/>
          <w:spacing w:val="-2"/>
        </w:rPr>
        <w:t>fizykochemiczne:</w:t>
      </w:r>
    </w:p>
    <w:p>
      <w:pPr>
        <w:pStyle w:val="BodyText"/>
        <w:spacing w:line="264" w:lineRule="auto" w:before="33"/>
        <w:ind w:left="381" w:right="3849"/>
      </w:pPr>
      <w:r>
        <w:rPr>
          <w:color w:val="131717"/>
        </w:rPr>
        <w:t>Stan fizyczny: ciało stałe Barwa:</w:t>
      </w:r>
      <w:r>
        <w:rPr>
          <w:color w:val="131717"/>
          <w:spacing w:val="-14"/>
        </w:rPr>
        <w:t> </w:t>
      </w:r>
      <w:r>
        <w:rPr>
          <w:color w:val="131717"/>
        </w:rPr>
        <w:t>czerwona </w:t>
      </w:r>
      <w:r>
        <w:rPr>
          <w:color w:val="131717"/>
          <w:spacing w:val="-4"/>
        </w:rPr>
        <w:t>Temperatura</w:t>
      </w:r>
      <w:r>
        <w:rPr>
          <w:color w:val="131717"/>
          <w:spacing w:val="-13"/>
        </w:rPr>
        <w:t> </w:t>
      </w:r>
      <w:r>
        <w:rPr>
          <w:color w:val="131717"/>
          <w:spacing w:val="-4"/>
        </w:rPr>
        <w:t>zapłonu:</w:t>
      </w:r>
      <w:r>
        <w:rPr>
          <w:color w:val="131717"/>
          <w:spacing w:val="-13"/>
        </w:rPr>
        <w:t> </w:t>
      </w:r>
      <w:r>
        <w:rPr>
          <w:color w:val="131717"/>
          <w:spacing w:val="-4"/>
        </w:rPr>
        <w:t>&gt;60°C Gęstość</w:t>
      </w:r>
      <w:r>
        <w:rPr>
          <w:color w:val="131717"/>
          <w:spacing w:val="-15"/>
        </w:rPr>
        <w:t> </w:t>
      </w:r>
      <w:r>
        <w:rPr>
          <w:color w:val="131717"/>
          <w:spacing w:val="-4"/>
        </w:rPr>
        <w:t>względna:</w:t>
      </w:r>
      <w:r>
        <w:rPr>
          <w:color w:val="131717"/>
          <w:spacing w:val="-15"/>
        </w:rPr>
        <w:t> </w:t>
      </w:r>
      <w:r>
        <w:rPr>
          <w:color w:val="131717"/>
          <w:spacing w:val="-4"/>
        </w:rPr>
        <w:t>1,10–1,20</w:t>
      </w:r>
    </w:p>
    <w:p>
      <w:pPr>
        <w:pStyle w:val="BodyText"/>
        <w:spacing w:before="17"/>
      </w:pPr>
    </w:p>
    <w:p>
      <w:pPr>
        <w:pStyle w:val="Heading1"/>
      </w:pPr>
      <w:r>
        <w:rPr>
          <w:color w:val="00AEAC"/>
          <w:spacing w:val="-2"/>
        </w:rPr>
        <w:t>Zastosowanie:</w:t>
      </w:r>
    </w:p>
    <w:p>
      <w:pPr>
        <w:pStyle w:val="BodyText"/>
        <w:spacing w:line="264" w:lineRule="auto" w:before="34"/>
        <w:ind w:left="381"/>
        <w:jc w:val="both"/>
      </w:pPr>
      <w:r>
        <w:rPr>
          <w:color w:val="131717"/>
        </w:rPr>
        <w:t>Do stosowania w stacjach deratyzacyjnych. Gotowa do użycia </w:t>
      </w:r>
      <w:r>
        <w:rPr>
          <w:color w:val="131717"/>
        </w:rPr>
        <w:t>przynęta przeznaczona do wykładania w bezpiecznych i odpornych na uszkodzenia stacjach deratyzacyjnych. Gryzonie giną bez stresu wskutek krwotoku wewnętrznego, długo po spożyciu przynęty i z dala od miejsca jej pobrania. Dzięki temu pozostałe gryzonie nie nabierają podejrzeń i nadal pobierają przynętę aż do całkowitego wyniszczenia populacji.</w:t>
      </w:r>
    </w:p>
    <w:p>
      <w:pPr>
        <w:pStyle w:val="Heading1"/>
        <w:spacing w:before="9"/>
        <w:ind w:left="388"/>
      </w:pPr>
      <w:r>
        <w:rPr>
          <w:color w:val="00AEAC"/>
          <w:w w:val="90"/>
        </w:rPr>
        <w:t>Sposób</w:t>
      </w:r>
      <w:r>
        <w:rPr>
          <w:color w:val="00AEAC"/>
          <w:spacing w:val="28"/>
        </w:rPr>
        <w:t> </w:t>
      </w:r>
      <w:r>
        <w:rPr>
          <w:color w:val="00AEAC"/>
          <w:spacing w:val="-2"/>
        </w:rPr>
        <w:t>użycia:</w:t>
      </w:r>
    </w:p>
    <w:p>
      <w:pPr>
        <w:pStyle w:val="BodyText"/>
        <w:spacing w:before="34"/>
        <w:ind w:left="388"/>
        <w:jc w:val="both"/>
      </w:pPr>
      <w:r>
        <w:rPr>
          <w:color w:val="131717"/>
          <w:spacing w:val="2"/>
        </w:rPr>
        <w:t>WEWNĄTRZ</w:t>
      </w:r>
      <w:r>
        <w:rPr>
          <w:color w:val="131717"/>
          <w:spacing w:val="26"/>
        </w:rPr>
        <w:t> </w:t>
      </w:r>
      <w:r>
        <w:rPr>
          <w:color w:val="131717"/>
          <w:spacing w:val="-2"/>
        </w:rPr>
        <w:t>POMIESZCZEŃ: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9"/>
        <w:rPr>
          <w:sz w:val="24"/>
        </w:rPr>
      </w:pPr>
    </w:p>
    <w:p>
      <w:pPr>
        <w:pStyle w:val="Heading2"/>
      </w:pPr>
      <w:r>
        <w:rPr>
          <w:color w:val="131717"/>
          <w:spacing w:val="-2"/>
          <w:w w:val="95"/>
        </w:rPr>
        <w:t>Skład:</w:t>
      </w:r>
    </w:p>
    <w:p>
      <w:pPr>
        <w:pStyle w:val="BodyText"/>
        <w:tabs>
          <w:tab w:pos="2824" w:val="left" w:leader="dot"/>
        </w:tabs>
        <w:spacing w:before="128"/>
        <w:ind w:left="1349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4229159</wp:posOffset>
            </wp:positionH>
            <wp:positionV relativeFrom="paragraph">
              <wp:posOffset>-254138</wp:posOffset>
            </wp:positionV>
            <wp:extent cx="543129" cy="54312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29" cy="543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717"/>
          <w:spacing w:val="-2"/>
        </w:rPr>
        <w:t>Bromadiolon</w:t>
      </w:r>
      <w:r>
        <w:rPr>
          <w:rFonts w:ascii="Times New Roman"/>
          <w:color w:val="131717"/>
        </w:rPr>
        <w:tab/>
      </w:r>
      <w:r>
        <w:rPr>
          <w:color w:val="131717"/>
          <w:spacing w:val="-2"/>
        </w:rPr>
        <w:t>0,005%</w:t>
      </w:r>
    </w:p>
    <w:p>
      <w:pPr>
        <w:pStyle w:val="BodyText"/>
      </w:pPr>
    </w:p>
    <w:p>
      <w:pPr>
        <w:pStyle w:val="BodyText"/>
        <w:spacing w:before="158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4277180</wp:posOffset>
                </wp:positionH>
                <wp:positionV relativeFrom="paragraph">
                  <wp:posOffset>213621</wp:posOffset>
                </wp:positionV>
                <wp:extent cx="415290" cy="41529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15290" cy="415290"/>
                          <a:chExt cx="415290" cy="4152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1529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415290">
                                <a:moveTo>
                                  <a:pt x="353699" y="414681"/>
                                </a:moveTo>
                                <a:lnTo>
                                  <a:pt x="60982" y="414681"/>
                                </a:lnTo>
                                <a:lnTo>
                                  <a:pt x="37250" y="409887"/>
                                </a:lnTo>
                                <a:lnTo>
                                  <a:pt x="17866" y="396815"/>
                                </a:lnTo>
                                <a:lnTo>
                                  <a:pt x="4794" y="377431"/>
                                </a:lnTo>
                                <a:lnTo>
                                  <a:pt x="0" y="353698"/>
                                </a:lnTo>
                                <a:lnTo>
                                  <a:pt x="0" y="60982"/>
                                </a:lnTo>
                                <a:lnTo>
                                  <a:pt x="4794" y="37250"/>
                                </a:lnTo>
                                <a:lnTo>
                                  <a:pt x="17866" y="17866"/>
                                </a:lnTo>
                                <a:lnTo>
                                  <a:pt x="37250" y="4794"/>
                                </a:lnTo>
                                <a:lnTo>
                                  <a:pt x="60982" y="0"/>
                                </a:lnTo>
                                <a:lnTo>
                                  <a:pt x="353699" y="0"/>
                                </a:lnTo>
                                <a:lnTo>
                                  <a:pt x="377431" y="4794"/>
                                </a:lnTo>
                                <a:lnTo>
                                  <a:pt x="396815" y="17866"/>
                                </a:lnTo>
                                <a:lnTo>
                                  <a:pt x="409887" y="37250"/>
                                </a:lnTo>
                                <a:lnTo>
                                  <a:pt x="414682" y="60982"/>
                                </a:lnTo>
                                <a:lnTo>
                                  <a:pt x="414682" y="353698"/>
                                </a:lnTo>
                                <a:lnTo>
                                  <a:pt x="409887" y="377431"/>
                                </a:lnTo>
                                <a:lnTo>
                                  <a:pt x="396815" y="396815"/>
                                </a:lnTo>
                                <a:lnTo>
                                  <a:pt x="377431" y="409887"/>
                                </a:lnTo>
                                <a:lnTo>
                                  <a:pt x="353699" y="414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22" y="59739"/>
                            <a:ext cx="164756" cy="198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33066" y="289413"/>
                            <a:ext cx="5080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66675">
                                <a:moveTo>
                                  <a:pt x="21328" y="66056"/>
                                </a:moveTo>
                                <a:lnTo>
                                  <a:pt x="13843" y="66056"/>
                                </a:lnTo>
                                <a:lnTo>
                                  <a:pt x="11259" y="65810"/>
                                </a:lnTo>
                                <a:lnTo>
                                  <a:pt x="6050" y="61363"/>
                                </a:lnTo>
                                <a:lnTo>
                                  <a:pt x="1792" y="55533"/>
                                </a:lnTo>
                                <a:lnTo>
                                  <a:pt x="0" y="48166"/>
                                </a:lnTo>
                                <a:lnTo>
                                  <a:pt x="170" y="43291"/>
                                </a:lnTo>
                                <a:lnTo>
                                  <a:pt x="279" y="40156"/>
                                </a:lnTo>
                                <a:lnTo>
                                  <a:pt x="2239" y="32397"/>
                                </a:lnTo>
                                <a:lnTo>
                                  <a:pt x="5415" y="23430"/>
                                </a:lnTo>
                                <a:lnTo>
                                  <a:pt x="13393" y="583"/>
                                </a:lnTo>
                                <a:lnTo>
                                  <a:pt x="13615" y="214"/>
                                </a:lnTo>
                                <a:lnTo>
                                  <a:pt x="13234" y="214"/>
                                </a:lnTo>
                                <a:lnTo>
                                  <a:pt x="14308" y="0"/>
                                </a:lnTo>
                                <a:lnTo>
                                  <a:pt x="44859" y="28998"/>
                                </a:lnTo>
                                <a:lnTo>
                                  <a:pt x="50791" y="43291"/>
                                </a:lnTo>
                                <a:lnTo>
                                  <a:pt x="49754" y="50437"/>
                                </a:lnTo>
                                <a:lnTo>
                                  <a:pt x="47213" y="56663"/>
                                </a:lnTo>
                                <a:lnTo>
                                  <a:pt x="40607" y="61236"/>
                                </a:lnTo>
                                <a:lnTo>
                                  <a:pt x="21328" y="66056"/>
                                </a:lnTo>
                                <a:close/>
                              </a:path>
                              <a:path w="50800" h="66675">
                                <a:moveTo>
                                  <a:pt x="15183" y="583"/>
                                </a:moveTo>
                                <a:lnTo>
                                  <a:pt x="14631" y="214"/>
                                </a:lnTo>
                                <a:lnTo>
                                  <a:pt x="14784" y="214"/>
                                </a:lnTo>
                                <a:lnTo>
                                  <a:pt x="15183" y="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6.785889pt;margin-top:16.820606pt;width:32.7pt;height:32.7pt;mso-position-horizontal-relative:page;mso-position-vertical-relative:paragraph;z-index:15732224" id="docshapegroup4" coordorigin="6736,336" coordsize="654,654">
                <v:shape style="position:absolute;left:6735;top:336;width:654;height:654" id="docshape5" coordorigin="6736,336" coordsize="654,654" path="m7293,989l6832,989,6794,982,6764,961,6743,931,6736,893,6736,432,6743,395,6764,365,6794,344,6832,336,7293,336,7330,344,7361,365,7381,395,7389,432,7389,893,7381,931,7361,961,7330,982,7293,989xe" filled="true" fillcolor="#00aeac" stroked="false">
                  <v:path arrowok="t"/>
                  <v:fill type="solid"/>
                </v:shape>
                <v:shape style="position:absolute;left:6965;top:430;width:260;height:313" type="#_x0000_t75" id="docshape6" stroked="false">
                  <v:imagedata r:id="rId8" o:title=""/>
                </v:shape>
                <v:shape style="position:absolute;left:6945;top:792;width:80;height:105" id="docshape7" coordorigin="6945,792" coordsize="80,105" path="m6979,896l6967,896,6963,896,6955,889,6948,880,6945,868,6946,860,6946,855,6949,843,6954,829,6966,793,6967,793,6966,793,6968,792,6969,793,7007,828,7016,838,7022,849,7025,860,7024,872,7020,881,7009,889,6979,896xm6969,793l6968,793,6969,793,6969,793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1717"/>
          <w:spacing w:val="-2"/>
        </w:rPr>
        <w:t>Dawkowanie:</w:t>
      </w:r>
    </w:p>
    <w:p>
      <w:pPr>
        <w:spacing w:before="116"/>
        <w:ind w:left="1349" w:right="0" w:firstLine="0"/>
        <w:jc w:val="left"/>
        <w:rPr>
          <w:sz w:val="14"/>
        </w:rPr>
      </w:pPr>
      <w:r>
        <w:rPr>
          <w:color w:val="131717"/>
          <w:sz w:val="14"/>
        </w:rPr>
        <w:t>Wewnątrz</w:t>
      </w:r>
      <w:r>
        <w:rPr>
          <w:color w:val="131717"/>
          <w:spacing w:val="-2"/>
          <w:sz w:val="14"/>
        </w:rPr>
        <w:t> </w:t>
      </w:r>
      <w:r>
        <w:rPr>
          <w:color w:val="131717"/>
          <w:sz w:val="14"/>
        </w:rPr>
        <w:t>budynków</w:t>
      </w:r>
      <w:r>
        <w:rPr>
          <w:color w:val="131717"/>
          <w:spacing w:val="-1"/>
          <w:sz w:val="14"/>
        </w:rPr>
        <w:t> </w:t>
      </w:r>
      <w:r>
        <w:rPr>
          <w:color w:val="131717"/>
          <w:sz w:val="14"/>
        </w:rPr>
        <w:t>i</w:t>
      </w:r>
      <w:r>
        <w:rPr>
          <w:color w:val="131717"/>
          <w:spacing w:val="-1"/>
          <w:sz w:val="14"/>
        </w:rPr>
        <w:t> </w:t>
      </w:r>
      <w:r>
        <w:rPr>
          <w:color w:val="131717"/>
          <w:sz w:val="14"/>
        </w:rPr>
        <w:t>wokół</w:t>
      </w:r>
      <w:r>
        <w:rPr>
          <w:color w:val="131717"/>
          <w:spacing w:val="-1"/>
          <w:sz w:val="14"/>
        </w:rPr>
        <w:t> </w:t>
      </w:r>
      <w:r>
        <w:rPr>
          <w:color w:val="131717"/>
          <w:spacing w:val="-2"/>
          <w:sz w:val="14"/>
        </w:rPr>
        <w:t>budynków:</w:t>
      </w:r>
    </w:p>
    <w:p>
      <w:pPr>
        <w:pStyle w:val="ListParagraph"/>
        <w:numPr>
          <w:ilvl w:val="0"/>
          <w:numId w:val="2"/>
        </w:numPr>
        <w:tabs>
          <w:tab w:pos="1463" w:val="left" w:leader="none"/>
        </w:tabs>
        <w:spacing w:line="240" w:lineRule="auto" w:before="40" w:after="0"/>
        <w:ind w:left="1463" w:right="0" w:hanging="77"/>
        <w:jc w:val="left"/>
        <w:rPr>
          <w:sz w:val="14"/>
        </w:rPr>
      </w:pPr>
      <w:r>
        <w:rPr>
          <w:color w:val="131717"/>
          <w:spacing w:val="-4"/>
          <w:sz w:val="14"/>
        </w:rPr>
        <w:t>Szczury: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100–200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g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na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punkt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wyłożenia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przynęty.</w:t>
      </w:r>
    </w:p>
    <w:p>
      <w:pPr>
        <w:pStyle w:val="ListParagraph"/>
        <w:numPr>
          <w:ilvl w:val="0"/>
          <w:numId w:val="2"/>
        </w:numPr>
        <w:tabs>
          <w:tab w:pos="1462" w:val="left" w:leader="none"/>
        </w:tabs>
        <w:spacing w:line="295" w:lineRule="auto" w:before="40" w:after="0"/>
        <w:ind w:left="1349" w:right="634" w:firstLine="36"/>
        <w:jc w:val="left"/>
        <w:rPr>
          <w:sz w:val="14"/>
        </w:rPr>
      </w:pPr>
      <w:r>
        <w:rPr>
          <w:color w:val="131717"/>
          <w:spacing w:val="-2"/>
          <w:sz w:val="14"/>
        </w:rPr>
        <w:t>Myszy: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60–100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g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na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punkt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wyłożenia</w:t>
      </w:r>
      <w:r>
        <w:rPr>
          <w:color w:val="131717"/>
          <w:spacing w:val="-13"/>
          <w:sz w:val="14"/>
        </w:rPr>
        <w:t> </w:t>
      </w:r>
      <w:r>
        <w:rPr>
          <w:color w:val="131717"/>
          <w:spacing w:val="-2"/>
          <w:sz w:val="14"/>
        </w:rPr>
        <w:t>przynęty. </w:t>
      </w:r>
      <w:r>
        <w:rPr>
          <w:color w:val="131717"/>
          <w:sz w:val="14"/>
        </w:rPr>
        <w:t>Tereny otwarte i składowiska odpadów:</w:t>
      </w:r>
    </w:p>
    <w:p>
      <w:pPr>
        <w:pStyle w:val="ListParagraph"/>
        <w:numPr>
          <w:ilvl w:val="0"/>
          <w:numId w:val="2"/>
        </w:numPr>
        <w:tabs>
          <w:tab w:pos="1463" w:val="left" w:leader="none"/>
        </w:tabs>
        <w:spacing w:line="240" w:lineRule="auto" w:before="1" w:after="0"/>
        <w:ind w:left="1463" w:right="0" w:hanging="77"/>
        <w:jc w:val="left"/>
        <w:rPr>
          <w:sz w:val="14"/>
        </w:rPr>
      </w:pPr>
      <w:r>
        <w:rPr>
          <w:color w:val="131717"/>
          <w:spacing w:val="-4"/>
          <w:sz w:val="14"/>
        </w:rPr>
        <w:t>Szczury: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100–200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g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na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punkt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wyłożenia</w:t>
      </w:r>
      <w:r>
        <w:rPr>
          <w:color w:val="131717"/>
          <w:spacing w:val="-7"/>
          <w:sz w:val="14"/>
        </w:rPr>
        <w:t> </w:t>
      </w:r>
      <w:r>
        <w:rPr>
          <w:color w:val="131717"/>
          <w:spacing w:val="-4"/>
          <w:sz w:val="14"/>
        </w:rPr>
        <w:t>przynęty.</w:t>
      </w:r>
    </w:p>
    <w:p>
      <w:pPr>
        <w:pStyle w:val="BodyText"/>
        <w:rPr>
          <w:sz w:val="14"/>
        </w:rPr>
      </w:pPr>
    </w:p>
    <w:p>
      <w:pPr>
        <w:pStyle w:val="BodyText"/>
        <w:spacing w:before="165"/>
        <w:rPr>
          <w:sz w:val="14"/>
        </w:rPr>
      </w:pPr>
    </w:p>
    <w:p>
      <w:pPr>
        <w:pStyle w:val="Heading2"/>
        <w:ind w:left="1372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4301697</wp:posOffset>
            </wp:positionH>
            <wp:positionV relativeFrom="paragraph">
              <wp:posOffset>-55693</wp:posOffset>
            </wp:positionV>
            <wp:extent cx="414682" cy="414681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82" cy="414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717"/>
          <w:spacing w:val="-2"/>
        </w:rPr>
        <w:t>Opakowanie:</w:t>
      </w:r>
    </w:p>
    <w:p>
      <w:pPr>
        <w:pStyle w:val="BodyText"/>
        <w:spacing w:before="106"/>
        <w:ind w:left="1429"/>
        <w:rPr>
          <w:rFonts w:ascii="Tahoma"/>
        </w:rPr>
      </w:pPr>
      <w:r>
        <w:rPr>
          <w:rFonts w:ascii="Tahoma"/>
          <w:color w:val="131717"/>
          <w:w w:val="85"/>
        </w:rPr>
        <w:t>15</w:t>
      </w:r>
      <w:r>
        <w:rPr>
          <w:rFonts w:ascii="Tahoma"/>
          <w:color w:val="131717"/>
          <w:spacing w:val="-8"/>
        </w:rPr>
        <w:t> </w:t>
      </w:r>
      <w:r>
        <w:rPr>
          <w:rFonts w:ascii="Tahoma"/>
          <w:color w:val="131717"/>
          <w:spacing w:val="-5"/>
        </w:rPr>
        <w:t>kg</w:t>
      </w:r>
    </w:p>
    <w:p>
      <w:pPr>
        <w:pStyle w:val="BodyText"/>
        <w:spacing w:before="136"/>
        <w:rPr>
          <w:rFonts w:ascii="Tahoma"/>
        </w:rPr>
      </w:pPr>
    </w:p>
    <w:p>
      <w:pPr>
        <w:spacing w:before="0"/>
        <w:ind w:left="136" w:right="0" w:firstLine="0"/>
        <w:jc w:val="left"/>
        <w:rPr>
          <w:sz w:val="16"/>
        </w:rPr>
      </w:pPr>
      <w:r>
        <w:rPr>
          <w:b/>
          <w:color w:val="00AEAC"/>
          <w:spacing w:val="-2"/>
          <w:w w:val="90"/>
          <w:sz w:val="16"/>
        </w:rPr>
        <w:t>RegistrationNo.:</w:t>
      </w:r>
      <w:r>
        <w:rPr>
          <w:b/>
          <w:color w:val="00AEAC"/>
          <w:spacing w:val="29"/>
          <w:sz w:val="16"/>
        </w:rPr>
        <w:t> </w:t>
      </w:r>
      <w:r>
        <w:rPr>
          <w:color w:val="231F20"/>
          <w:spacing w:val="-2"/>
          <w:w w:val="90"/>
          <w:sz w:val="16"/>
        </w:rPr>
        <w:t>ES/AA-2018-14-00206</w:t>
      </w:r>
    </w:p>
    <w:p>
      <w:pPr>
        <w:spacing w:after="0"/>
        <w:jc w:val="left"/>
        <w:rPr>
          <w:sz w:val="16"/>
        </w:rPr>
        <w:sectPr>
          <w:type w:val="continuous"/>
          <w:pgSz w:w="11910" w:h="16850"/>
          <w:pgMar w:top="0" w:bottom="0" w:left="0" w:right="0"/>
          <w:cols w:num="2" w:equalWidth="0">
            <w:col w:w="6576" w:space="40"/>
            <w:col w:w="5294"/>
          </w:cols>
        </w:sectPr>
      </w:pPr>
    </w:p>
    <w:p>
      <w:pPr>
        <w:pStyle w:val="BodyText"/>
        <w:spacing w:line="264" w:lineRule="auto" w:before="19"/>
        <w:ind w:left="388" w:right="331"/>
        <w:jc w:val="both"/>
      </w:pPr>
      <w:r>
        <w:rPr>
          <w:color w:val="131717"/>
        </w:rPr>
        <w:t>Szczególne instrukcje stosowania: Po zakończeniu okresu zwalczania usunąć pozostały produkt. Należy przestrzegać dodatkowych instrukcji zawartych w odpowiednim kodeksie dobrych praktyk.</w:t>
      </w:r>
    </w:p>
    <w:p>
      <w:pPr>
        <w:pStyle w:val="BodyText"/>
        <w:spacing w:line="193" w:lineRule="exact"/>
        <w:ind w:left="388"/>
        <w:jc w:val="both"/>
      </w:pPr>
      <w:r>
        <w:rPr>
          <w:color w:val="131717"/>
        </w:rPr>
        <w:t>NA</w:t>
      </w:r>
      <w:r>
        <w:rPr>
          <w:color w:val="131717"/>
          <w:spacing w:val="18"/>
        </w:rPr>
        <w:t> </w:t>
      </w:r>
      <w:r>
        <w:rPr>
          <w:color w:val="131717"/>
        </w:rPr>
        <w:t>ZEWNĄTRZ</w:t>
      </w:r>
      <w:r>
        <w:rPr>
          <w:color w:val="131717"/>
          <w:spacing w:val="18"/>
        </w:rPr>
        <w:t> </w:t>
      </w:r>
      <w:r>
        <w:rPr>
          <w:color w:val="131717"/>
        </w:rPr>
        <w:t>WOKÓŁ</w:t>
      </w:r>
      <w:r>
        <w:rPr>
          <w:color w:val="131717"/>
          <w:spacing w:val="18"/>
        </w:rPr>
        <w:t> </w:t>
      </w:r>
      <w:r>
        <w:rPr>
          <w:color w:val="131717"/>
          <w:spacing w:val="-2"/>
        </w:rPr>
        <w:t>BUDYNKÓW:</w:t>
      </w:r>
    </w:p>
    <w:p>
      <w:pPr>
        <w:pStyle w:val="BodyText"/>
        <w:spacing w:line="264" w:lineRule="auto" w:before="19"/>
        <w:ind w:left="388" w:right="331"/>
        <w:jc w:val="both"/>
      </w:pPr>
      <w:r>
        <w:rPr>
          <w:color w:val="131717"/>
        </w:rPr>
        <w:t>Szczególne instrukcje stosowania: Chronić przynętę przed wpływem warunków atmosferycznych. Punkty wyłożenia przynęty umieszczać</w:t>
      </w:r>
      <w:r>
        <w:rPr>
          <w:color w:val="131717"/>
          <w:spacing w:val="40"/>
        </w:rPr>
        <w:t> </w:t>
      </w:r>
      <w:r>
        <w:rPr>
          <w:color w:val="131717"/>
        </w:rPr>
        <w:t>w miejscach, które nie są narażone na zalanie. Wymieniać przynętę w punktach wyłożenia, jeśli została uszkodzona przez wodę lub zanieczyszczona brudem. Po zakończeniu okresu zwalczania usunąć pozostały produkt. Należy przestrzegać dodatkowych instrukcji zawartych w odpowiednim kodeksie dobrych praktyk.</w:t>
      </w:r>
    </w:p>
    <w:p>
      <w:pPr>
        <w:pStyle w:val="BodyText"/>
        <w:spacing w:line="193" w:lineRule="exact"/>
        <w:ind w:left="388"/>
        <w:jc w:val="both"/>
      </w:pPr>
      <w:r>
        <w:rPr>
          <w:color w:val="131717"/>
        </w:rPr>
        <w:t>NA</w:t>
      </w:r>
      <w:r>
        <w:rPr>
          <w:color w:val="131717"/>
          <w:spacing w:val="9"/>
        </w:rPr>
        <w:t> </w:t>
      </w:r>
      <w:r>
        <w:rPr>
          <w:color w:val="131717"/>
        </w:rPr>
        <w:t>ZEWNĄTRZ:</w:t>
      </w:r>
      <w:r>
        <w:rPr>
          <w:color w:val="131717"/>
          <w:spacing w:val="12"/>
        </w:rPr>
        <w:t> </w:t>
      </w:r>
      <w:r>
        <w:rPr>
          <w:color w:val="131717"/>
        </w:rPr>
        <w:t>OTWARTE</w:t>
      </w:r>
      <w:r>
        <w:rPr>
          <w:color w:val="131717"/>
          <w:spacing w:val="12"/>
        </w:rPr>
        <w:t> </w:t>
      </w:r>
      <w:r>
        <w:rPr>
          <w:color w:val="131717"/>
        </w:rPr>
        <w:t>TERENY</w:t>
      </w:r>
      <w:r>
        <w:rPr>
          <w:color w:val="131717"/>
          <w:spacing w:val="12"/>
        </w:rPr>
        <w:t> </w:t>
      </w:r>
      <w:r>
        <w:rPr>
          <w:color w:val="131717"/>
        </w:rPr>
        <w:t>ZEWNĘTRZNE.</w:t>
      </w:r>
      <w:r>
        <w:rPr>
          <w:color w:val="131717"/>
          <w:spacing w:val="11"/>
        </w:rPr>
        <w:t> </w:t>
      </w:r>
      <w:r>
        <w:rPr>
          <w:color w:val="131717"/>
        </w:rPr>
        <w:t>ZEWNĘTRZNE</w:t>
      </w:r>
      <w:r>
        <w:rPr>
          <w:color w:val="131717"/>
          <w:spacing w:val="12"/>
        </w:rPr>
        <w:t> </w:t>
      </w:r>
      <w:r>
        <w:rPr>
          <w:color w:val="131717"/>
        </w:rPr>
        <w:t>MIEJSCA</w:t>
      </w:r>
      <w:r>
        <w:rPr>
          <w:color w:val="131717"/>
          <w:spacing w:val="12"/>
        </w:rPr>
        <w:t> </w:t>
      </w:r>
      <w:r>
        <w:rPr>
          <w:color w:val="131717"/>
        </w:rPr>
        <w:t>GROMADZENIA</w:t>
      </w:r>
      <w:r>
        <w:rPr>
          <w:color w:val="131717"/>
          <w:spacing w:val="12"/>
        </w:rPr>
        <w:t> </w:t>
      </w:r>
      <w:r>
        <w:rPr>
          <w:color w:val="131717"/>
          <w:spacing w:val="-2"/>
        </w:rPr>
        <w:t>ODPADÓW.</w:t>
      </w:r>
    </w:p>
    <w:p>
      <w:pPr>
        <w:pStyle w:val="BodyText"/>
        <w:spacing w:line="264" w:lineRule="auto" w:before="19"/>
        <w:ind w:left="388" w:right="331"/>
        <w:jc w:val="both"/>
      </w:pPr>
      <w:r>
        <w:rPr>
          <w:color w:val="131717"/>
        </w:rPr>
        <w:t>Szczególne instrukcje stosowania: Chronić przynętę przed wpływem warunków atmosferycznych. Stacje deratyzacyjne umieszczać w miejscach, które nie są narażone na zalanie. Wymieniać przynętę w punktach wyłożenia, jeśli została uszkodzona przez wodę lub zanieczyszczona brudem. Po zakończeniu okresu zwalczania usunąć pozostały produkt. Należy przestrzegać dodatkowych zaleceń zawartych w odpowiednim kodeksie dobrych praktyk.</w:t>
      </w:r>
    </w:p>
    <w:p>
      <w:pPr>
        <w:pStyle w:val="BodyText"/>
        <w:spacing w:before="16"/>
      </w:pPr>
    </w:p>
    <w:p>
      <w:pPr>
        <w:pStyle w:val="Heading1"/>
        <w:ind w:left="388"/>
      </w:pPr>
      <w:r>
        <w:rPr>
          <w:color w:val="00AEAC"/>
          <w:spacing w:val="-2"/>
        </w:rPr>
        <w:t>Przechowywanie:</w:t>
      </w:r>
    </w:p>
    <w:p>
      <w:pPr>
        <w:pStyle w:val="BodyText"/>
        <w:spacing w:line="264" w:lineRule="auto" w:before="34"/>
        <w:ind w:left="388" w:right="331" w:firstLine="43"/>
        <w:jc w:val="both"/>
      </w:pPr>
      <w:r>
        <w:rPr>
          <w:color w:val="131717"/>
        </w:rPr>
        <w:t>Przechowywać</w:t>
      </w:r>
      <w:r>
        <w:rPr>
          <w:color w:val="131717"/>
          <w:spacing w:val="16"/>
        </w:rPr>
        <w:t> </w:t>
      </w:r>
      <w:r>
        <w:rPr>
          <w:color w:val="131717"/>
        </w:rPr>
        <w:t>zgodnie</w:t>
      </w:r>
      <w:r>
        <w:rPr>
          <w:color w:val="131717"/>
          <w:spacing w:val="16"/>
        </w:rPr>
        <w:t> </w:t>
      </w:r>
      <w:r>
        <w:rPr>
          <w:color w:val="131717"/>
        </w:rPr>
        <w:t>z</w:t>
      </w:r>
      <w:r>
        <w:rPr>
          <w:color w:val="131717"/>
          <w:spacing w:val="16"/>
        </w:rPr>
        <w:t> </w:t>
      </w:r>
      <w:r>
        <w:rPr>
          <w:color w:val="131717"/>
        </w:rPr>
        <w:t>obowiązującymi</w:t>
      </w:r>
      <w:r>
        <w:rPr>
          <w:color w:val="131717"/>
          <w:spacing w:val="16"/>
        </w:rPr>
        <w:t> </w:t>
      </w:r>
      <w:r>
        <w:rPr>
          <w:color w:val="131717"/>
        </w:rPr>
        <w:t>przepisami</w:t>
      </w:r>
      <w:r>
        <w:rPr>
          <w:color w:val="131717"/>
          <w:spacing w:val="16"/>
        </w:rPr>
        <w:t> </w:t>
      </w:r>
      <w:r>
        <w:rPr>
          <w:color w:val="131717"/>
        </w:rPr>
        <w:t>lokalnymi.</w:t>
      </w:r>
      <w:r>
        <w:rPr>
          <w:color w:val="131717"/>
          <w:spacing w:val="16"/>
        </w:rPr>
        <w:t> </w:t>
      </w:r>
      <w:r>
        <w:rPr>
          <w:color w:val="131717"/>
        </w:rPr>
        <w:t>Przestrzegać</w:t>
      </w:r>
      <w:r>
        <w:rPr>
          <w:color w:val="131717"/>
          <w:spacing w:val="16"/>
        </w:rPr>
        <w:t> </w:t>
      </w:r>
      <w:r>
        <w:rPr>
          <w:color w:val="131717"/>
        </w:rPr>
        <w:t>wskazań</w:t>
      </w:r>
      <w:r>
        <w:rPr>
          <w:color w:val="131717"/>
          <w:spacing w:val="16"/>
        </w:rPr>
        <w:t> </w:t>
      </w:r>
      <w:r>
        <w:rPr>
          <w:color w:val="131717"/>
        </w:rPr>
        <w:t>podanych</w:t>
      </w:r>
      <w:r>
        <w:rPr>
          <w:color w:val="131717"/>
          <w:spacing w:val="16"/>
        </w:rPr>
        <w:t> </w:t>
      </w:r>
      <w:r>
        <w:rPr>
          <w:color w:val="131717"/>
        </w:rPr>
        <w:t>na</w:t>
      </w:r>
      <w:r>
        <w:rPr>
          <w:color w:val="131717"/>
          <w:spacing w:val="16"/>
        </w:rPr>
        <w:t> </w:t>
      </w:r>
      <w:r>
        <w:rPr>
          <w:color w:val="131717"/>
        </w:rPr>
        <w:t>etykiecie.</w:t>
      </w:r>
      <w:r>
        <w:rPr>
          <w:color w:val="131717"/>
          <w:spacing w:val="16"/>
        </w:rPr>
        <w:t> </w:t>
      </w:r>
      <w:r>
        <w:rPr>
          <w:color w:val="131717"/>
        </w:rPr>
        <w:t>Pojemniki</w:t>
      </w:r>
      <w:r>
        <w:rPr>
          <w:color w:val="131717"/>
          <w:spacing w:val="16"/>
        </w:rPr>
        <w:t> </w:t>
      </w:r>
      <w:r>
        <w:rPr>
          <w:color w:val="131717"/>
        </w:rPr>
        <w:t>przechowywać w temperaturze od 5 do 25°C, w suchym i dobrze wentylowanym miejscu, z dala od źródeł ciepła oraz bezpośredniego światła słonecznego. Przechowywać z dala od źródeł zapłonu. Trzymać z dala od środków utleniających oraz substancji silnie kwaśnych lub zasadowych. Nie palić. Nie dopuszczać osób nieupoważnionych. Po otwarciu pojemniki należy ponownie starannie zamknąć i przechowywać w pozycji pionowej, aby zapobiec rozlaniu.</w:t>
      </w:r>
    </w:p>
    <w:p>
      <w:pPr>
        <w:pStyle w:val="BodyText"/>
        <w:tabs>
          <w:tab w:pos="4530" w:val="left" w:leader="none"/>
          <w:tab w:pos="6270" w:val="left" w:leader="none"/>
          <w:tab w:pos="8242" w:val="left" w:leader="none"/>
        </w:tabs>
        <w:spacing w:line="269" w:lineRule="exact"/>
        <w:ind w:left="1342"/>
        <w:rPr>
          <w:rFonts w:ascii="Arial MT"/>
        </w:rPr>
      </w:pPr>
      <w:r>
        <w:rPr>
          <w:rFonts w:ascii="Arial MT"/>
        </w:rPr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2675247</wp:posOffset>
            </wp:positionH>
            <wp:positionV relativeFrom="paragraph">
              <wp:posOffset>60527</wp:posOffset>
            </wp:positionV>
            <wp:extent cx="128254" cy="12875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04384">
            <wp:simplePos x="0" y="0"/>
            <wp:positionH relativeFrom="page">
              <wp:posOffset>3788767</wp:posOffset>
            </wp:positionH>
            <wp:positionV relativeFrom="paragraph">
              <wp:posOffset>60527</wp:posOffset>
            </wp:positionV>
            <wp:extent cx="128254" cy="12875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5025216</wp:posOffset>
            </wp:positionH>
            <wp:positionV relativeFrom="paragraph">
              <wp:posOffset>60527</wp:posOffset>
            </wp:positionV>
            <wp:extent cx="128254" cy="12875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6233778</wp:posOffset>
            </wp:positionH>
            <wp:positionV relativeFrom="paragraph">
              <wp:posOffset>60437</wp:posOffset>
            </wp:positionV>
            <wp:extent cx="129170" cy="12917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70" cy="12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6426182</wp:posOffset>
                </wp:positionH>
                <wp:positionV relativeFrom="paragraph">
                  <wp:posOffset>59877</wp:posOffset>
                </wp:positionV>
                <wp:extent cx="237490" cy="1003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37490" cy="100330"/>
                          <a:chExt cx="237490" cy="10033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7" cy="998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33" y="30999"/>
                            <a:ext cx="98429" cy="68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5.998627pt;margin-top:4.714774pt;width:18.7pt;height:7.9pt;mso-position-horizontal-relative:page;mso-position-vertical-relative:paragraph;z-index:15731200" id="docshapegroup8" coordorigin="10120,94" coordsize="374,158">
                <v:shape style="position:absolute;left:10119;top:94;width:165;height:158" type="#_x0000_t75" id="docshape9" stroked="false">
                  <v:imagedata r:id="rId13" o:title=""/>
                </v:shape>
                <v:shape style="position:absolute;left:10338;top:143;width:155;height:109" type="#_x0000_t75" id="docshape10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color w:val="131717"/>
        </w:rPr>
        <w:t>Derio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Bidea,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51</w:t>
      </w:r>
      <w:r>
        <w:rPr>
          <w:rFonts w:ascii="Arial MT"/>
          <w:color w:val="131717"/>
          <w:spacing w:val="7"/>
        </w:rPr>
        <w:t> </w:t>
      </w:r>
      <w:r>
        <w:rPr>
          <w:rFonts w:ascii="Arial MT"/>
          <w:color w:val="131717"/>
        </w:rPr>
        <w:t>48100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</w:rPr>
        <w:t>Mungia.</w:t>
      </w:r>
      <w:r>
        <w:rPr>
          <w:rFonts w:ascii="Arial MT"/>
          <w:color w:val="131717"/>
          <w:spacing w:val="6"/>
        </w:rPr>
        <w:t> </w:t>
      </w:r>
      <w:r>
        <w:rPr>
          <w:rFonts w:ascii="Arial MT"/>
          <w:color w:val="131717"/>
          <w:spacing w:val="-2"/>
        </w:rPr>
        <w:t>Vizcaya</w:t>
      </w:r>
      <w:r>
        <w:rPr>
          <w:rFonts w:ascii="Arial MT"/>
          <w:color w:val="131717"/>
        </w:rPr>
        <w:tab/>
      </w:r>
      <w:r>
        <w:rPr>
          <w:rFonts w:ascii="Microsoft JhengHei Light"/>
          <w:color w:val="131717"/>
          <w:position w:val="1"/>
        </w:rPr>
        <w:t>T</w:t>
      </w:r>
      <w:r>
        <w:rPr>
          <w:rFonts w:ascii="Microsoft JhengHei Light"/>
          <w:color w:val="131717"/>
          <w:spacing w:val="-5"/>
          <w:position w:val="1"/>
        </w:rPr>
        <w:t> </w:t>
      </w:r>
      <w:r>
        <w:rPr>
          <w:rFonts w:ascii="Arial MT"/>
          <w:color w:val="131717"/>
          <w:position w:val="1"/>
        </w:rPr>
        <w:t>+34</w:t>
      </w:r>
      <w:r>
        <w:rPr>
          <w:rFonts w:ascii="Arial MT"/>
          <w:color w:val="131717"/>
          <w:spacing w:val="-2"/>
          <w:position w:val="1"/>
        </w:rPr>
        <w:t> </w:t>
      </w:r>
      <w:r>
        <w:rPr>
          <w:rFonts w:ascii="Arial MT"/>
          <w:color w:val="131717"/>
          <w:position w:val="1"/>
        </w:rPr>
        <w:t>94</w:t>
      </w:r>
      <w:r>
        <w:rPr>
          <w:rFonts w:ascii="Arial MT"/>
          <w:color w:val="131717"/>
          <w:spacing w:val="-1"/>
          <w:position w:val="1"/>
        </w:rPr>
        <w:t> </w:t>
      </w:r>
      <w:r>
        <w:rPr>
          <w:rFonts w:ascii="Arial MT"/>
          <w:color w:val="131717"/>
          <w:position w:val="1"/>
        </w:rPr>
        <w:t>674</w:t>
      </w:r>
      <w:r>
        <w:rPr>
          <w:rFonts w:ascii="Arial MT"/>
          <w:color w:val="131717"/>
          <w:spacing w:val="-2"/>
          <w:position w:val="1"/>
        </w:rPr>
        <w:t> </w:t>
      </w:r>
      <w:r>
        <w:rPr>
          <w:rFonts w:ascii="Arial MT"/>
          <w:color w:val="131717"/>
          <w:position w:val="1"/>
        </w:rPr>
        <w:t>10</w:t>
      </w:r>
      <w:r>
        <w:rPr>
          <w:rFonts w:ascii="Arial MT"/>
          <w:color w:val="131717"/>
          <w:spacing w:val="-1"/>
          <w:position w:val="1"/>
        </w:rPr>
        <w:t> </w:t>
      </w:r>
      <w:r>
        <w:rPr>
          <w:rFonts w:ascii="Arial MT"/>
          <w:color w:val="131717"/>
          <w:spacing w:val="-5"/>
          <w:position w:val="1"/>
        </w:rPr>
        <w:t>85</w:t>
      </w:r>
      <w:r>
        <w:rPr>
          <w:rFonts w:ascii="Arial MT"/>
          <w:color w:val="131717"/>
          <w:position w:val="1"/>
        </w:rPr>
        <w:tab/>
      </w:r>
      <w:hyperlink r:id="rId15">
        <w:r>
          <w:rPr>
            <w:rFonts w:ascii="Arial MT"/>
            <w:color w:val="131717"/>
            <w:spacing w:val="-2"/>
          </w:rPr>
          <w:t>info@quimunsa.com</w:t>
        </w:r>
      </w:hyperlink>
      <w:r>
        <w:rPr>
          <w:rFonts w:ascii="Arial MT"/>
          <w:color w:val="131717"/>
        </w:rPr>
        <w:tab/>
      </w:r>
      <w:hyperlink r:id="rId16">
        <w:r>
          <w:rPr>
            <w:rFonts w:ascii="Arial MT"/>
            <w:color w:val="131717"/>
            <w:spacing w:val="-2"/>
          </w:rPr>
          <w:t>www.quimunsa.com</w:t>
        </w:r>
      </w:hyperlink>
    </w:p>
    <w:sectPr>
      <w:type w:val="continuous"/>
      <w:pgSz w:w="11910" w:h="1685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Microsoft JhengHei Light">
    <w:altName w:val="Microsoft JhengHei Light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349" w:hanging="78"/>
      </w:pPr>
      <w:rPr>
        <w:rFonts w:hint="default" w:ascii="Verdana" w:hAnsi="Verdana" w:eastAsia="Verdana" w:cs="Verdana"/>
        <w:b w:val="0"/>
        <w:bCs w:val="0"/>
        <w:i w:val="0"/>
        <w:iCs w:val="0"/>
        <w:color w:val="131717"/>
        <w:spacing w:val="0"/>
        <w:w w:val="54"/>
        <w:sz w:val="14"/>
        <w:szCs w:val="1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35" w:hanging="7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30" w:hanging="7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26" w:hanging="7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921" w:hanging="7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317" w:hanging="7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712" w:hanging="7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108" w:hanging="7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503" w:hanging="7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81" w:hanging="90"/>
      </w:pPr>
      <w:rPr>
        <w:rFonts w:hint="default" w:ascii="Verdana" w:hAnsi="Verdana" w:eastAsia="Verdana" w:cs="Verdana"/>
        <w:b w:val="0"/>
        <w:bCs w:val="0"/>
        <w:i w:val="0"/>
        <w:iCs w:val="0"/>
        <w:color w:val="131717"/>
        <w:spacing w:val="0"/>
        <w:w w:val="54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99" w:hanging="9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19" w:hanging="9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38" w:hanging="9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858" w:hanging="9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477" w:hanging="9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097" w:hanging="9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716" w:hanging="9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336" w:hanging="90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81"/>
      <w:outlineLvl w:val="1"/>
    </w:pPr>
    <w:rPr>
      <w:rFonts w:ascii="Verdana" w:hAnsi="Verdana" w:eastAsia="Verdana" w:cs="Verdana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349"/>
      <w:outlineLvl w:val="2"/>
    </w:pPr>
    <w:rPr>
      <w:rFonts w:ascii="Verdana" w:hAnsi="Verdana" w:eastAsia="Verdana" w:cs="Verdana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9"/>
      <w:ind w:left="381" w:hanging="88"/>
    </w:pPr>
    <w:rPr>
      <w:rFonts w:ascii="Verdana" w:hAnsi="Verdana" w:eastAsia="Verdana" w:cs="Verdan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numbering" Target="numbering.xml"/><Relationship Id="rId2" Type="http://schemas.openxmlformats.org/officeDocument/2006/relationships/fontTable" Target="fontTable.xml"/><Relationship Id="rId16" Type="http://schemas.openxmlformats.org/officeDocument/2006/relationships/hyperlink" Target="http://www.quimunsa.com/" TargetMode="Externa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info@quimunsa.com" TargetMode="Externa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104579C77554BA3B1522C6BD713D8" ma:contentTypeVersion="19" ma:contentTypeDescription="Crear nuevo documento." ma:contentTypeScope="" ma:versionID="fc0f63f9027dbe4e24af10a138a0fa21">
  <xsd:schema xmlns:xsd="http://www.w3.org/2001/XMLSchema" xmlns:xs="http://www.w3.org/2001/XMLSchema" xmlns:p="http://schemas.microsoft.com/office/2006/metadata/properties" xmlns:ns2="9fdf84ae-cdbc-479c-9f99-813e2ef6adea" xmlns:ns3="fb28c9e5-d839-469e-8344-b5eb52ed4169" targetNamespace="http://schemas.microsoft.com/office/2006/metadata/properties" ma:root="true" ma:fieldsID="85a70957e37616e12073e4775327a35a" ns2:_="" ns3:_="">
    <xsd:import namespace="9fdf84ae-cdbc-479c-9f99-813e2ef6adea"/>
    <xsd:import namespace="fb28c9e5-d839-469e-8344-b5eb52ed41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f84ae-cdbc-479c-9f99-813e2ef6ad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5d06c0-2caa-483f-a96d-82350f49d856}" ma:internalName="TaxCatchAll" ma:showField="CatchAllData" ma:web="9fdf84ae-cdbc-479c-9f99-813e2ef6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8c9e5-d839-469e-8344-b5eb52ed4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c987f667-7f78-455a-b262-a5ffe313a0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28c9e5-d839-469e-8344-b5eb52ed4169">
      <Terms xmlns="http://schemas.microsoft.com/office/infopath/2007/PartnerControls"/>
    </lcf76f155ced4ddcb4097134ff3c332f>
    <TaxCatchAll xmlns="9fdf84ae-cdbc-479c-9f99-813e2ef6adea" xsi:nil="true"/>
  </documentManagement>
</p:properties>
</file>

<file path=customXml/itemProps1.xml><?xml version="1.0" encoding="utf-8"?>
<ds:datastoreItem xmlns:ds="http://schemas.openxmlformats.org/officeDocument/2006/customXml" ds:itemID="{9B465E60-5FA8-4F66-86A5-16B4F55F7D1C}"/>
</file>

<file path=customXml/itemProps2.xml><?xml version="1.0" encoding="utf-8"?>
<ds:datastoreItem xmlns:ds="http://schemas.openxmlformats.org/officeDocument/2006/customXml" ds:itemID="{59AE70AF-0138-4C83-9557-E6518F1F2A3E}"/>
</file>

<file path=customXml/itemProps3.xml><?xml version="1.0" encoding="utf-8"?>
<ds:datastoreItem xmlns:ds="http://schemas.openxmlformats.org/officeDocument/2006/customXml" ds:itemID="{F71BCBE8-FB7D-4BE1-80D5-7B1DDBF445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TDS_MURIBROM BROMADIOLONE BLOCK 0,005_POLACO</dc:title>
  <dc:creator>Comerciales QM</dc:creator>
  <cp:keywords>DAHEHLzpO4A,BAG--MYhq9Q,0</cp:keywords>
  <dcterms:created xsi:type="dcterms:W3CDTF">2026-03-23T12:11:26Z</dcterms:created>
  <dcterms:modified xsi:type="dcterms:W3CDTF">2026-03-23T12:11:26Z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2026-03-23T00:00:00Z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0x010100764104579C77554BA3B1522C6BD713D8</vt:lpwstr>
  </property>
</Properties>
</file>