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rPr>
          <w:rFonts w:ascii="Times New Roman"/>
          <w:sz w:val="48"/>
        </w:rPr>
      </w:pPr>
    </w:p>
    <w:p>
      <w:pPr>
        <w:pStyle w:val="BodyText"/>
        <w:spacing w:before="239"/>
        <w:rPr>
          <w:rFonts w:ascii="Times New Roman"/>
          <w:sz w:val="48"/>
        </w:rPr>
      </w:pPr>
    </w:p>
    <w:p>
      <w:pPr>
        <w:pStyle w:val="Title"/>
        <w:tabs>
          <w:tab w:pos="3483" w:val="left" w:leader="none"/>
        </w:tabs>
        <w:spacing w:line="278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3911552</wp:posOffset>
                </wp:positionH>
                <wp:positionV relativeFrom="paragraph">
                  <wp:posOffset>353759</wp:posOffset>
                </wp:positionV>
                <wp:extent cx="3378835" cy="2691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378835" cy="2691130"/>
                          <a:chExt cx="3378835" cy="2691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8552" cy="21514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07" y="2147486"/>
                            <a:ext cx="543129" cy="5431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7.996277pt;margin-top:27.855051pt;width:266.05pt;height:211.9pt;mso-position-horizontal-relative:page;mso-position-vertical-relative:paragraph;z-index:-15797248" id="docshapegroup1" coordorigin="6160,557" coordsize="5321,4238">
                <v:shape style="position:absolute;left:6159;top:557;width:5321;height:3389" type="#_x0000_t75" id="docshape2" stroked="false">
                  <v:imagedata r:id="rId5" o:title=""/>
                </v:shape>
                <v:shape style="position:absolute;left:6660;top:3938;width:856;height:856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  <w:bookmarkStart w:name="MURIBROM BROMADIOLONE GRAIN" w:id="1"/>
      <w:bookmarkEnd w:id="1"/>
      <w:r>
        <w:rPr>
          <w:b w:val="0"/>
        </w:rPr>
      </w:r>
      <w:bookmarkStart w:name="Opis: Zbożowa przynęta rodentycydowa na " w:id="2"/>
      <w:bookmarkEnd w:id="2"/>
      <w:r>
        <w:rPr>
          <w:b w:val="0"/>
        </w:rPr>
      </w:r>
      <w:bookmarkStart w:name="Właściwości:  • Saszetkowana przynęta zb" w:id="3"/>
      <w:bookmarkEnd w:id="3"/>
      <w:r>
        <w:rPr>
          <w:b w:val="0"/>
        </w:rPr>
      </w:r>
      <w:bookmarkStart w:name="Szkodniki docelowe: Mysz domowa (Mus mus" w:id="4"/>
      <w:bookmarkEnd w:id="4"/>
      <w:r>
        <w:rPr>
          <w:b w:val="0"/>
        </w:rPr>
      </w:r>
      <w:bookmarkStart w:name="Środki ochrony osobistej: Maska filtrują" w:id="5"/>
      <w:bookmarkEnd w:id="5"/>
      <w:r>
        <w:rPr>
          <w:b w:val="0"/>
        </w:rPr>
      </w:r>
      <w:bookmarkStart w:name="Zastosowanie: Przed rozpoczęciem zabiegu" w:id="6"/>
      <w:bookmarkEnd w:id="6"/>
      <w:r>
        <w:rPr>
          <w:b w:val="0"/>
        </w:rPr>
      </w:r>
      <w:bookmarkStart w:name="Skład:" w:id="7"/>
      <w:bookmarkEnd w:id="7"/>
      <w:r>
        <w:rPr>
          <w:b w:val="0"/>
        </w:rPr>
      </w:r>
      <w:bookmarkStart w:name="Bromadiolon .......... 0,005%" w:id="8"/>
      <w:bookmarkEnd w:id="8"/>
      <w:r>
        <w:rPr>
          <w:b w:val="0"/>
        </w:rPr>
      </w:r>
      <w:bookmarkStart w:name="Dawkowanie:" w:id="9"/>
      <w:bookmarkEnd w:id="9"/>
      <w:r>
        <w:rPr>
          <w:b w:val="0"/>
        </w:rPr>
      </w:r>
      <w:bookmarkStart w:name="Opakowanie:" w:id="10"/>
      <w:bookmarkEnd w:id="10"/>
      <w:r>
        <w:rPr>
          <w:b w:val="0"/>
        </w:rPr>
      </w:r>
      <w:bookmarkStart w:name="10 kg" w:id="11"/>
      <w:bookmarkEnd w:id="11"/>
      <w:r>
        <w:rPr>
          <w:b w:val="0"/>
        </w:rPr>
      </w:r>
      <w:bookmarkStart w:name="Sposób użycia: Luźne ziarno, dlatego prz" w:id="12"/>
      <w:bookmarkEnd w:id="12"/>
      <w:r>
        <w:rPr>
          <w:b w:val="0"/>
        </w:rPr>
      </w:r>
      <w:bookmarkStart w:name="Przechowywanie: Przechowywać zgodnie z o" w:id="13"/>
      <w:bookmarkEnd w:id="13"/>
      <w:r>
        <w:rPr>
          <w:b w:val="0"/>
        </w:rPr>
      </w:r>
      <w:bookmarkStart w:name="T +34 94 674 10 85" w:id="14"/>
      <w:bookmarkEnd w:id="14"/>
      <w:r>
        <w:rPr>
          <w:b w:val="0"/>
        </w:rPr>
      </w:r>
      <w:bookmarkStart w:name="www.quimunsa.com" w:id="15"/>
      <w:bookmarkEnd w:id="15"/>
      <w:r>
        <w:rPr>
          <w:b w:val="0"/>
        </w:rPr>
      </w:r>
      <w:bookmarkStart w:name="Derio Bidea, 51 48100 Mungia. Vizcaya" w:id="16"/>
      <w:bookmarkEnd w:id="16"/>
      <w:r>
        <w:rPr>
          <w:b w:val="0"/>
        </w:rPr>
      </w:r>
      <w:bookmarkStart w:name="info@quimunsa.com" w:id="17"/>
      <w:bookmarkEnd w:id="17"/>
      <w:r>
        <w:rPr>
          <w:b w:val="0"/>
        </w:rPr>
      </w:r>
      <w:r>
        <w:rPr>
          <w:color w:val="00A8AB"/>
          <w:spacing w:val="-2"/>
        </w:rPr>
        <w:t>MURIBROM</w:t>
      </w:r>
      <w:r>
        <w:rPr>
          <w:color w:val="00A8AB"/>
        </w:rPr>
        <w:tab/>
      </w:r>
      <w:r>
        <w:rPr>
          <w:color w:val="00A8AB"/>
          <w:spacing w:val="-16"/>
        </w:rPr>
        <w:t>BROMADIOLONE </w:t>
      </w:r>
      <w:r>
        <w:rPr>
          <w:color w:val="00A8AB"/>
          <w:spacing w:val="-2"/>
        </w:rPr>
        <w:t>GRAIN</w:t>
      </w:r>
    </w:p>
    <w:p>
      <w:pPr>
        <w:pStyle w:val="BodyText"/>
        <w:spacing w:before="9"/>
        <w:rPr>
          <w:b/>
          <w:sz w:val="13"/>
        </w:rPr>
      </w:pPr>
    </w:p>
    <w:p>
      <w:pPr>
        <w:pStyle w:val="BodyText"/>
        <w:spacing w:after="0"/>
        <w:rPr>
          <w:b/>
          <w:sz w:val="13"/>
        </w:rPr>
        <w:sectPr>
          <w:type w:val="continuous"/>
          <w:pgSz w:w="11910" w:h="16850"/>
          <w:pgMar w:top="0" w:bottom="0" w:left="283" w:right="141"/>
        </w:sectPr>
      </w:pPr>
    </w:p>
    <w:p>
      <w:pPr>
        <w:pStyle w:val="Heading1"/>
        <w:spacing w:before="90"/>
      </w:pPr>
      <w:r>
        <w:rPr>
          <w:color w:val="00A8AB"/>
          <w:spacing w:val="-4"/>
          <w:w w:val="95"/>
        </w:rPr>
        <w:t>Opis:</w:t>
      </w:r>
    </w:p>
    <w:p>
      <w:pPr>
        <w:pStyle w:val="BodyText"/>
        <w:spacing w:line="264" w:lineRule="auto" w:before="33"/>
        <w:ind w:left="149" w:right="38"/>
        <w:jc w:val="both"/>
      </w:pPr>
      <w:r>
        <w:rPr>
          <w:color w:val="1D1D1B"/>
        </w:rPr>
        <w:t>Zbożowa przynęta rodentycydowa na bazie pszenicy, impregnowana bromadiolonem, przeznaczona do zwalczania szkodników gryzoni.</w:t>
      </w:r>
    </w:p>
    <w:p>
      <w:pPr>
        <w:pStyle w:val="BodyText"/>
        <w:spacing w:before="18"/>
      </w:pPr>
    </w:p>
    <w:p>
      <w:pPr>
        <w:pStyle w:val="Heading1"/>
      </w:pPr>
      <w:r>
        <w:rPr>
          <w:color w:val="00A8AB"/>
          <w:spacing w:val="-2"/>
        </w:rPr>
        <w:t>Właściwości:</w:t>
      </w:r>
    </w:p>
    <w:p>
      <w:pPr>
        <w:pStyle w:val="ListParagraph"/>
        <w:numPr>
          <w:ilvl w:val="0"/>
          <w:numId w:val="1"/>
        </w:numPr>
        <w:tabs>
          <w:tab w:pos="390" w:val="left" w:leader="none"/>
        </w:tabs>
        <w:spacing w:line="264" w:lineRule="auto" w:before="33" w:after="0"/>
        <w:ind w:left="149" w:right="38" w:firstLine="97"/>
        <w:jc w:val="left"/>
        <w:rPr>
          <w:color w:val="1D1D1B"/>
          <w:sz w:val="16"/>
        </w:rPr>
      </w:pPr>
      <w:r>
        <w:rPr>
          <w:color w:val="1D1D1B"/>
          <w:sz w:val="16"/>
        </w:rPr>
        <w:t>Saszetkowana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przynęta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zbożowa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o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masie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25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g,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zawierająca</w:t>
      </w:r>
      <w:r>
        <w:rPr>
          <w:color w:val="1D1D1B"/>
          <w:spacing w:val="31"/>
          <w:sz w:val="16"/>
        </w:rPr>
        <w:t> </w:t>
      </w:r>
      <w:r>
        <w:rPr>
          <w:color w:val="1D1D1B"/>
          <w:sz w:val="16"/>
        </w:rPr>
        <w:t>0,005% </w:t>
      </w:r>
      <w:r>
        <w:rPr>
          <w:color w:val="1D1D1B"/>
          <w:spacing w:val="-2"/>
          <w:sz w:val="16"/>
        </w:rPr>
        <w:t>bromadiolonu.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264" w:lineRule="auto" w:before="0" w:after="0"/>
        <w:ind w:left="149" w:right="38" w:firstLine="62"/>
        <w:jc w:val="left"/>
        <w:rPr>
          <w:color w:val="1D1D1B"/>
          <w:sz w:val="16"/>
        </w:rPr>
      </w:pPr>
      <w:r>
        <w:rPr>
          <w:color w:val="1D1D1B"/>
          <w:sz w:val="16"/>
        </w:rPr>
        <w:t>Bromadiolon działa po jednorazowym pobraniu i jest skuteczny wobec gryzoni odpornych na standardowe rodentycydy.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193" w:lineRule="exact" w:before="0" w:after="0"/>
        <w:ind w:left="281" w:right="0" w:hanging="89"/>
        <w:jc w:val="left"/>
        <w:rPr>
          <w:color w:val="1D1D1B"/>
          <w:sz w:val="16"/>
        </w:rPr>
      </w:pPr>
      <w:r>
        <w:rPr>
          <w:color w:val="1D1D1B"/>
          <w:sz w:val="16"/>
        </w:rPr>
        <w:t>Idealna</w:t>
      </w:r>
      <w:r>
        <w:rPr>
          <w:color w:val="1D1D1B"/>
          <w:spacing w:val="-6"/>
          <w:sz w:val="16"/>
        </w:rPr>
        <w:t> </w:t>
      </w:r>
      <w:r>
        <w:rPr>
          <w:color w:val="1D1D1B"/>
          <w:sz w:val="16"/>
        </w:rPr>
        <w:t>do</w:t>
      </w:r>
      <w:r>
        <w:rPr>
          <w:color w:val="1D1D1B"/>
          <w:spacing w:val="-6"/>
          <w:sz w:val="16"/>
        </w:rPr>
        <w:t> </w:t>
      </w:r>
      <w:r>
        <w:rPr>
          <w:color w:val="1D1D1B"/>
          <w:sz w:val="16"/>
        </w:rPr>
        <w:t>intensywnego</w:t>
      </w:r>
      <w:r>
        <w:rPr>
          <w:color w:val="1D1D1B"/>
          <w:spacing w:val="-6"/>
          <w:sz w:val="16"/>
        </w:rPr>
        <w:t> </w:t>
      </w:r>
      <w:r>
        <w:rPr>
          <w:color w:val="1D1D1B"/>
          <w:sz w:val="16"/>
        </w:rPr>
        <w:t>zwalczania</w:t>
      </w:r>
      <w:r>
        <w:rPr>
          <w:color w:val="1D1D1B"/>
          <w:spacing w:val="-5"/>
          <w:sz w:val="16"/>
        </w:rPr>
        <w:t> </w:t>
      </w:r>
      <w:r>
        <w:rPr>
          <w:color w:val="1D1D1B"/>
          <w:sz w:val="16"/>
        </w:rPr>
        <w:t>przy</w:t>
      </w:r>
      <w:r>
        <w:rPr>
          <w:color w:val="1D1D1B"/>
          <w:spacing w:val="-6"/>
          <w:sz w:val="16"/>
        </w:rPr>
        <w:t> </w:t>
      </w:r>
      <w:r>
        <w:rPr>
          <w:color w:val="1D1D1B"/>
          <w:sz w:val="16"/>
        </w:rPr>
        <w:t>dużym</w:t>
      </w:r>
      <w:r>
        <w:rPr>
          <w:color w:val="1D1D1B"/>
          <w:spacing w:val="-6"/>
          <w:sz w:val="16"/>
        </w:rPr>
        <w:t> </w:t>
      </w:r>
      <w:r>
        <w:rPr>
          <w:color w:val="1D1D1B"/>
          <w:sz w:val="16"/>
        </w:rPr>
        <w:t>nasileniu</w:t>
      </w:r>
      <w:r>
        <w:rPr>
          <w:color w:val="1D1D1B"/>
          <w:spacing w:val="-6"/>
          <w:sz w:val="16"/>
        </w:rPr>
        <w:t> </w:t>
      </w:r>
      <w:r>
        <w:rPr>
          <w:color w:val="1D1D1B"/>
          <w:spacing w:val="-2"/>
          <w:sz w:val="16"/>
        </w:rPr>
        <w:t>infestacji.</w:t>
      </w:r>
    </w:p>
    <w:p>
      <w:pPr>
        <w:pStyle w:val="ListParagraph"/>
        <w:numPr>
          <w:ilvl w:val="0"/>
          <w:numId w:val="1"/>
        </w:numPr>
        <w:tabs>
          <w:tab w:pos="303" w:val="left" w:leader="none"/>
        </w:tabs>
        <w:spacing w:line="264" w:lineRule="auto" w:before="18" w:after="0"/>
        <w:ind w:left="149" w:right="38" w:firstLine="53"/>
        <w:jc w:val="left"/>
        <w:rPr>
          <w:color w:val="1D1D1B"/>
          <w:sz w:val="16"/>
        </w:rPr>
      </w:pPr>
      <w:r>
        <w:rPr>
          <w:color w:val="1D1D1B"/>
          <w:sz w:val="16"/>
        </w:rPr>
        <w:t>Smakowite składniki zawarte w formulacji są wykrywane przez gryzonie z dużej odległości.</w:t>
      </w:r>
    </w:p>
    <w:p>
      <w:pPr>
        <w:pStyle w:val="ListParagraph"/>
        <w:numPr>
          <w:ilvl w:val="0"/>
          <w:numId w:val="1"/>
        </w:numPr>
        <w:tabs>
          <w:tab w:pos="281" w:val="left" w:leader="none"/>
        </w:tabs>
        <w:spacing w:line="193" w:lineRule="exact" w:before="0" w:after="0"/>
        <w:ind w:left="281" w:right="0" w:hanging="89"/>
        <w:jc w:val="left"/>
        <w:rPr>
          <w:color w:val="1D1D1B"/>
          <w:sz w:val="16"/>
        </w:rPr>
      </w:pPr>
      <w:r>
        <w:rPr>
          <w:color w:val="1D1D1B"/>
          <w:spacing w:val="-2"/>
          <w:sz w:val="16"/>
        </w:rPr>
        <w:t>100%</w:t>
      </w:r>
      <w:r>
        <w:rPr>
          <w:color w:val="1D1D1B"/>
          <w:spacing w:val="-8"/>
          <w:sz w:val="16"/>
        </w:rPr>
        <w:t> </w:t>
      </w:r>
      <w:r>
        <w:rPr>
          <w:color w:val="1D1D1B"/>
          <w:spacing w:val="-2"/>
          <w:sz w:val="16"/>
        </w:rPr>
        <w:t>śmiertelności</w:t>
      </w:r>
      <w:r>
        <w:rPr>
          <w:color w:val="1D1D1B"/>
          <w:spacing w:val="-8"/>
          <w:sz w:val="16"/>
        </w:rPr>
        <w:t> </w:t>
      </w:r>
      <w:r>
        <w:rPr>
          <w:color w:val="1D1D1B"/>
          <w:spacing w:val="-2"/>
          <w:sz w:val="16"/>
        </w:rPr>
        <w:t>po</w:t>
      </w:r>
      <w:r>
        <w:rPr>
          <w:color w:val="1D1D1B"/>
          <w:spacing w:val="-7"/>
          <w:sz w:val="16"/>
        </w:rPr>
        <w:t> </w:t>
      </w:r>
      <w:r>
        <w:rPr>
          <w:color w:val="1D1D1B"/>
          <w:spacing w:val="-2"/>
          <w:sz w:val="16"/>
        </w:rPr>
        <w:t>jednorazowym</w:t>
      </w:r>
      <w:r>
        <w:rPr>
          <w:color w:val="1D1D1B"/>
          <w:spacing w:val="-8"/>
          <w:sz w:val="16"/>
        </w:rPr>
        <w:t> </w:t>
      </w:r>
      <w:r>
        <w:rPr>
          <w:color w:val="1D1D1B"/>
          <w:spacing w:val="-2"/>
          <w:sz w:val="16"/>
        </w:rPr>
        <w:t>spożyciu.</w:t>
      </w:r>
    </w:p>
    <w:p>
      <w:pPr>
        <w:pStyle w:val="ListParagraph"/>
        <w:numPr>
          <w:ilvl w:val="0"/>
          <w:numId w:val="1"/>
        </w:numPr>
        <w:tabs>
          <w:tab w:pos="304" w:val="left" w:leader="none"/>
        </w:tabs>
        <w:spacing w:line="264" w:lineRule="auto" w:before="19" w:after="0"/>
        <w:ind w:left="149" w:right="38" w:firstLine="54"/>
        <w:jc w:val="left"/>
        <w:rPr>
          <w:color w:val="1D1D1B"/>
          <w:sz w:val="16"/>
        </w:rPr>
      </w:pPr>
      <w:r>
        <w:rPr>
          <w:color w:val="1D1D1B"/>
          <w:sz w:val="16"/>
        </w:rPr>
        <w:t>Aby zapobiec przypadkowemu spożyciu przynęty, do formulacji dodano substancję zniechęcającą o gorzkim smaku, niewyczuwalną dla gryzoni.</w:t>
      </w:r>
    </w:p>
    <w:p>
      <w:pPr>
        <w:pStyle w:val="BodyText"/>
        <w:spacing w:before="18"/>
      </w:pPr>
    </w:p>
    <w:p>
      <w:pPr>
        <w:pStyle w:val="Heading1"/>
      </w:pPr>
      <w:r>
        <w:rPr>
          <w:color w:val="00A8AB"/>
          <w:w w:val="90"/>
        </w:rPr>
        <w:t>Szkodniki</w:t>
      </w:r>
      <w:r>
        <w:rPr>
          <w:color w:val="00A8AB"/>
          <w:spacing w:val="14"/>
        </w:rPr>
        <w:t> </w:t>
      </w:r>
      <w:r>
        <w:rPr>
          <w:color w:val="00A8AB"/>
          <w:spacing w:val="-2"/>
        </w:rPr>
        <w:t>docelowe:</w:t>
      </w:r>
    </w:p>
    <w:p>
      <w:pPr>
        <w:pStyle w:val="BodyText"/>
        <w:spacing w:before="34"/>
        <w:ind w:left="149"/>
        <w:jc w:val="both"/>
      </w:pPr>
      <w:r>
        <w:rPr>
          <w:color w:val="1D1D1B"/>
        </w:rPr>
        <w:t>Mysz</w:t>
      </w:r>
      <w:r>
        <w:rPr>
          <w:color w:val="1D1D1B"/>
          <w:spacing w:val="-3"/>
        </w:rPr>
        <w:t> </w:t>
      </w:r>
      <w:r>
        <w:rPr>
          <w:color w:val="1D1D1B"/>
        </w:rPr>
        <w:t>domowa</w:t>
      </w:r>
      <w:r>
        <w:rPr>
          <w:color w:val="1D1D1B"/>
          <w:spacing w:val="-3"/>
        </w:rPr>
        <w:t> </w:t>
      </w:r>
      <w:r>
        <w:rPr>
          <w:color w:val="1D1D1B"/>
        </w:rPr>
        <w:t>(Mus</w:t>
      </w:r>
      <w:r>
        <w:rPr>
          <w:color w:val="1D1D1B"/>
          <w:spacing w:val="-3"/>
        </w:rPr>
        <w:t> </w:t>
      </w:r>
      <w:r>
        <w:rPr>
          <w:color w:val="1D1D1B"/>
          <w:spacing w:val="-2"/>
        </w:rPr>
        <w:t>musculus)</w:t>
      </w:r>
    </w:p>
    <w:p>
      <w:pPr>
        <w:pStyle w:val="BodyText"/>
        <w:spacing w:before="19"/>
        <w:ind w:left="149"/>
        <w:jc w:val="both"/>
      </w:pPr>
      <w:r>
        <w:rPr>
          <w:color w:val="1D1D1B"/>
          <w:spacing w:val="-2"/>
        </w:rPr>
        <w:t>Szczur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wędrowny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/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szczur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śniady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kanałowy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(Rattus</w:t>
      </w:r>
      <w:r>
        <w:rPr>
          <w:color w:val="1D1D1B"/>
          <w:spacing w:val="-5"/>
        </w:rPr>
        <w:t> </w:t>
      </w:r>
      <w:r>
        <w:rPr>
          <w:color w:val="1D1D1B"/>
          <w:spacing w:val="-2"/>
        </w:rPr>
        <w:t>norvegicus)</w:t>
      </w:r>
    </w:p>
    <w:p>
      <w:pPr>
        <w:pStyle w:val="BodyText"/>
        <w:spacing w:before="37"/>
      </w:pPr>
    </w:p>
    <w:p>
      <w:pPr>
        <w:spacing w:before="0"/>
        <w:ind w:left="149" w:right="0" w:firstLine="0"/>
        <w:jc w:val="both"/>
        <w:rPr>
          <w:b/>
          <w:sz w:val="16"/>
        </w:rPr>
      </w:pPr>
      <w:r>
        <w:rPr>
          <w:b/>
          <w:color w:val="00A8AB"/>
          <w:w w:val="90"/>
          <w:sz w:val="16"/>
        </w:rPr>
        <w:t>Środki</w:t>
      </w:r>
      <w:r>
        <w:rPr>
          <w:b/>
          <w:color w:val="00A8AB"/>
          <w:spacing w:val="3"/>
          <w:sz w:val="16"/>
        </w:rPr>
        <w:t> </w:t>
      </w:r>
      <w:r>
        <w:rPr>
          <w:b/>
          <w:color w:val="00A8AB"/>
          <w:w w:val="90"/>
          <w:sz w:val="16"/>
        </w:rPr>
        <w:t>ochrony</w:t>
      </w:r>
      <w:r>
        <w:rPr>
          <w:b/>
          <w:color w:val="00A8AB"/>
          <w:spacing w:val="4"/>
          <w:sz w:val="16"/>
        </w:rPr>
        <w:t> </w:t>
      </w:r>
      <w:r>
        <w:rPr>
          <w:b/>
          <w:color w:val="00A8AB"/>
          <w:spacing w:val="-2"/>
          <w:w w:val="90"/>
          <w:sz w:val="16"/>
        </w:rPr>
        <w:t>osobistej:</w:t>
      </w:r>
    </w:p>
    <w:p>
      <w:pPr>
        <w:pStyle w:val="BodyText"/>
        <w:spacing w:line="264" w:lineRule="auto" w:before="19"/>
        <w:ind w:left="149" w:right="38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4301697</wp:posOffset>
            </wp:positionH>
            <wp:positionV relativeFrom="paragraph">
              <wp:posOffset>311704</wp:posOffset>
            </wp:positionV>
            <wp:extent cx="414682" cy="414681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682" cy="414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Maska filtrująca chroniąca przed gazami i cząstkami. Chemoodporne rękawice ochronne wielokrotnego użytku. Chemoodporna odzież</w:t>
      </w:r>
      <w:r>
        <w:rPr>
          <w:color w:val="1D1D1B"/>
          <w:spacing w:val="40"/>
        </w:rPr>
        <w:t> </w:t>
      </w:r>
      <w:r>
        <w:rPr>
          <w:color w:val="1D1D1B"/>
        </w:rPr>
        <w:t>ochronna.</w:t>
      </w:r>
      <w:r>
        <w:rPr>
          <w:color w:val="1D1D1B"/>
          <w:spacing w:val="40"/>
        </w:rPr>
        <w:t> </w:t>
      </w:r>
      <w:r>
        <w:rPr>
          <w:color w:val="1D1D1B"/>
        </w:rPr>
        <w:t>Obuwie</w:t>
      </w:r>
      <w:r>
        <w:rPr>
          <w:color w:val="1D1D1B"/>
          <w:spacing w:val="40"/>
        </w:rPr>
        <w:t> </w:t>
      </w:r>
      <w:r>
        <w:rPr>
          <w:color w:val="1D1D1B"/>
        </w:rPr>
        <w:t>ochronne</w:t>
      </w:r>
      <w:r>
        <w:rPr>
          <w:color w:val="1D1D1B"/>
          <w:spacing w:val="40"/>
        </w:rPr>
        <w:t> </w:t>
      </w:r>
      <w:r>
        <w:rPr>
          <w:color w:val="1D1D1B"/>
        </w:rPr>
        <w:t>odporne</w:t>
      </w:r>
      <w:r>
        <w:rPr>
          <w:color w:val="1D1D1B"/>
          <w:spacing w:val="40"/>
        </w:rPr>
        <w:t> </w:t>
      </w:r>
      <w:r>
        <w:rPr>
          <w:color w:val="1D1D1B"/>
        </w:rPr>
        <w:t>na</w:t>
      </w:r>
      <w:r>
        <w:rPr>
          <w:color w:val="1D1D1B"/>
          <w:spacing w:val="40"/>
        </w:rPr>
        <w:t> </w:t>
      </w:r>
      <w:r>
        <w:rPr>
          <w:color w:val="1D1D1B"/>
        </w:rPr>
        <w:t>działanie</w:t>
      </w:r>
      <w:r>
        <w:rPr>
          <w:color w:val="1D1D1B"/>
          <w:spacing w:val="40"/>
        </w:rPr>
        <w:t> </w:t>
      </w:r>
      <w:r>
        <w:rPr>
          <w:color w:val="1D1D1B"/>
        </w:rPr>
        <w:t>substancji chemicznych i o właściwościach antystatycznych.</w:t>
      </w:r>
    </w:p>
    <w:p>
      <w:pPr>
        <w:pStyle w:val="BodyText"/>
        <w:spacing w:before="17"/>
      </w:pPr>
    </w:p>
    <w:p>
      <w:pPr>
        <w:pStyle w:val="Heading1"/>
      </w:pPr>
      <w:r>
        <w:rPr>
          <w:color w:val="00A8AB"/>
          <w:spacing w:val="-2"/>
        </w:rPr>
        <w:t>Zastosowanie:</w:t>
      </w:r>
    </w:p>
    <w:p>
      <w:pPr>
        <w:pStyle w:val="BodyText"/>
        <w:spacing w:line="264" w:lineRule="auto" w:before="34"/>
        <w:ind w:left="149" w:right="38"/>
        <w:jc w:val="both"/>
      </w:pPr>
      <w:r>
        <w:rPr>
          <w:color w:val="1D1D1B"/>
        </w:rPr>
        <w:t>Przed rozpoczęciem zabiegu należy przeprowadzić lustrację zasiedlonego obszaru oraz ocenę na miejscu w celu identyfikacji gatunku gryzoni,</w:t>
      </w:r>
      <w:r>
        <w:rPr>
          <w:color w:val="1D1D1B"/>
          <w:spacing w:val="40"/>
        </w:rPr>
        <w:t> </w:t>
      </w:r>
      <w:r>
        <w:rPr>
          <w:color w:val="1D1D1B"/>
        </w:rPr>
        <w:t>miejsc ich aktywności, a także ustalenia przyczyny i skali infestacji. Nie należy czyścić obszaru przeznaczonego do zabiegu bezpośrednio przed jego wykonaniem, ponieważ może to jedynie spłoszyć gryzonie i utrudnić pobieranie przynęty. Produkt należy umieszczać w pobliżu miejsc, w których</w:t>
      </w:r>
      <w:r>
        <w:rPr>
          <w:color w:val="1D1D1B"/>
          <w:spacing w:val="-13"/>
        </w:rPr>
        <w:t> </w:t>
      </w:r>
      <w:r>
        <w:rPr>
          <w:color w:val="1D1D1B"/>
        </w:rPr>
        <w:t>stwierdzono</w:t>
      </w:r>
      <w:r>
        <w:rPr>
          <w:color w:val="1D1D1B"/>
          <w:spacing w:val="-13"/>
        </w:rPr>
        <w:t> </w:t>
      </w:r>
      <w:r>
        <w:rPr>
          <w:color w:val="1D1D1B"/>
        </w:rPr>
        <w:t>aktywność</w:t>
      </w:r>
      <w:r>
        <w:rPr>
          <w:color w:val="1D1D1B"/>
          <w:spacing w:val="-13"/>
        </w:rPr>
        <w:t> </w:t>
      </w:r>
      <w:r>
        <w:rPr>
          <w:color w:val="1D1D1B"/>
        </w:rPr>
        <w:t>gryzoni</w:t>
      </w:r>
      <w:r>
        <w:rPr>
          <w:color w:val="1D1D1B"/>
          <w:spacing w:val="-13"/>
        </w:rPr>
        <w:t> </w:t>
      </w:r>
      <w:r>
        <w:rPr>
          <w:color w:val="1D1D1B"/>
        </w:rPr>
        <w:t>(trasy</w:t>
      </w:r>
      <w:r>
        <w:rPr>
          <w:color w:val="1D1D1B"/>
          <w:spacing w:val="-13"/>
        </w:rPr>
        <w:t> </w:t>
      </w:r>
      <w:r>
        <w:rPr>
          <w:color w:val="1D1D1B"/>
        </w:rPr>
        <w:t>przemieszczania</w:t>
      </w:r>
      <w:r>
        <w:rPr>
          <w:color w:val="1D1D1B"/>
          <w:spacing w:val="-13"/>
        </w:rPr>
        <w:t> </w:t>
      </w:r>
      <w:r>
        <w:rPr>
          <w:color w:val="1D1D1B"/>
        </w:rPr>
        <w:t>się,</w:t>
      </w:r>
      <w:r>
        <w:rPr>
          <w:color w:val="1D1D1B"/>
          <w:spacing w:val="-13"/>
        </w:rPr>
        <w:t> </w:t>
      </w:r>
      <w:r>
        <w:rPr>
          <w:color w:val="1D1D1B"/>
        </w:rPr>
        <w:t>miejsca gniazdowania, żerowania, otwory, nory itp.).</w:t>
      </w:r>
    </w:p>
    <w:p>
      <w:pPr>
        <w:pStyle w:val="Heading1"/>
        <w:spacing w:before="122"/>
        <w:ind w:left="176"/>
      </w:pPr>
      <w:r>
        <w:rPr>
          <w:color w:val="00A8AB"/>
          <w:w w:val="90"/>
        </w:rPr>
        <w:t>Sposób</w:t>
      </w:r>
      <w:r>
        <w:rPr>
          <w:color w:val="00A8AB"/>
          <w:spacing w:val="13"/>
        </w:rPr>
        <w:t> </w:t>
      </w:r>
      <w:r>
        <w:rPr>
          <w:color w:val="00A8AB"/>
          <w:spacing w:val="-2"/>
        </w:rPr>
        <w:t>użycia: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94"/>
        <w:rPr>
          <w:b/>
          <w:sz w:val="24"/>
        </w:rPr>
      </w:pPr>
    </w:p>
    <w:p>
      <w:pPr>
        <w:pStyle w:val="Heading2"/>
      </w:pPr>
      <w:r>
        <w:rPr>
          <w:color w:val="1D1D1B"/>
          <w:spacing w:val="-2"/>
          <w:w w:val="95"/>
        </w:rPr>
        <w:t>Skład:</w:t>
      </w:r>
    </w:p>
    <w:p>
      <w:pPr>
        <w:pStyle w:val="BodyText"/>
        <w:tabs>
          <w:tab w:pos="1624" w:val="left" w:leader="dot"/>
        </w:tabs>
        <w:spacing w:before="115"/>
        <w:ind w:left="149"/>
      </w:pPr>
      <w:r>
        <w:rPr>
          <w:color w:val="1D1D1B"/>
          <w:spacing w:val="-2"/>
        </w:rPr>
        <w:t>Bromadiolon</w:t>
      </w:r>
      <w:r>
        <w:rPr>
          <w:rFonts w:ascii="Times New Roman"/>
          <w:color w:val="1D1D1B"/>
        </w:rPr>
        <w:tab/>
      </w:r>
      <w:r>
        <w:rPr>
          <w:color w:val="1D1D1B"/>
          <w:spacing w:val="-2"/>
        </w:rPr>
        <w:t>0,005%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3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4277180</wp:posOffset>
                </wp:positionH>
                <wp:positionV relativeFrom="paragraph">
                  <wp:posOffset>164237</wp:posOffset>
                </wp:positionV>
                <wp:extent cx="415290" cy="41529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15290" cy="415290"/>
                          <a:chExt cx="415290" cy="4152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41529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415290">
                                <a:moveTo>
                                  <a:pt x="353699" y="414681"/>
                                </a:moveTo>
                                <a:lnTo>
                                  <a:pt x="60982" y="414681"/>
                                </a:lnTo>
                                <a:lnTo>
                                  <a:pt x="37250" y="409887"/>
                                </a:lnTo>
                                <a:lnTo>
                                  <a:pt x="17866" y="396815"/>
                                </a:lnTo>
                                <a:lnTo>
                                  <a:pt x="4794" y="377431"/>
                                </a:lnTo>
                                <a:lnTo>
                                  <a:pt x="0" y="353698"/>
                                </a:lnTo>
                                <a:lnTo>
                                  <a:pt x="0" y="60982"/>
                                </a:lnTo>
                                <a:lnTo>
                                  <a:pt x="4794" y="37250"/>
                                </a:lnTo>
                                <a:lnTo>
                                  <a:pt x="17866" y="17866"/>
                                </a:lnTo>
                                <a:lnTo>
                                  <a:pt x="37250" y="4794"/>
                                </a:lnTo>
                                <a:lnTo>
                                  <a:pt x="60982" y="0"/>
                                </a:lnTo>
                                <a:lnTo>
                                  <a:pt x="353699" y="0"/>
                                </a:lnTo>
                                <a:lnTo>
                                  <a:pt x="377431" y="4794"/>
                                </a:lnTo>
                                <a:lnTo>
                                  <a:pt x="396815" y="17866"/>
                                </a:lnTo>
                                <a:lnTo>
                                  <a:pt x="409887" y="37250"/>
                                </a:lnTo>
                                <a:lnTo>
                                  <a:pt x="414682" y="60982"/>
                                </a:lnTo>
                                <a:lnTo>
                                  <a:pt x="414682" y="353698"/>
                                </a:lnTo>
                                <a:lnTo>
                                  <a:pt x="409887" y="377431"/>
                                </a:lnTo>
                                <a:lnTo>
                                  <a:pt x="396815" y="396815"/>
                                </a:lnTo>
                                <a:lnTo>
                                  <a:pt x="377431" y="409887"/>
                                </a:lnTo>
                                <a:lnTo>
                                  <a:pt x="353699" y="414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8A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122" y="59739"/>
                            <a:ext cx="164756" cy="1984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33066" y="289413"/>
                            <a:ext cx="50800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66675">
                                <a:moveTo>
                                  <a:pt x="21328" y="66056"/>
                                </a:moveTo>
                                <a:lnTo>
                                  <a:pt x="13843" y="66056"/>
                                </a:lnTo>
                                <a:lnTo>
                                  <a:pt x="11259" y="65810"/>
                                </a:lnTo>
                                <a:lnTo>
                                  <a:pt x="6050" y="61363"/>
                                </a:lnTo>
                                <a:lnTo>
                                  <a:pt x="1792" y="55533"/>
                                </a:lnTo>
                                <a:lnTo>
                                  <a:pt x="0" y="48166"/>
                                </a:lnTo>
                                <a:lnTo>
                                  <a:pt x="170" y="43291"/>
                                </a:lnTo>
                                <a:lnTo>
                                  <a:pt x="279" y="40156"/>
                                </a:lnTo>
                                <a:lnTo>
                                  <a:pt x="2239" y="32397"/>
                                </a:lnTo>
                                <a:lnTo>
                                  <a:pt x="5415" y="23430"/>
                                </a:lnTo>
                                <a:lnTo>
                                  <a:pt x="13393" y="583"/>
                                </a:lnTo>
                                <a:lnTo>
                                  <a:pt x="13615" y="214"/>
                                </a:lnTo>
                                <a:lnTo>
                                  <a:pt x="13234" y="214"/>
                                </a:lnTo>
                                <a:lnTo>
                                  <a:pt x="14308" y="0"/>
                                </a:lnTo>
                                <a:lnTo>
                                  <a:pt x="44859" y="28998"/>
                                </a:lnTo>
                                <a:lnTo>
                                  <a:pt x="50791" y="43291"/>
                                </a:lnTo>
                                <a:lnTo>
                                  <a:pt x="49754" y="50437"/>
                                </a:lnTo>
                                <a:lnTo>
                                  <a:pt x="47213" y="56663"/>
                                </a:lnTo>
                                <a:lnTo>
                                  <a:pt x="40607" y="61236"/>
                                </a:lnTo>
                                <a:lnTo>
                                  <a:pt x="21328" y="66056"/>
                                </a:lnTo>
                                <a:close/>
                              </a:path>
                              <a:path w="50800" h="66675">
                                <a:moveTo>
                                  <a:pt x="15183" y="583"/>
                                </a:moveTo>
                                <a:lnTo>
                                  <a:pt x="14631" y="214"/>
                                </a:lnTo>
                                <a:lnTo>
                                  <a:pt x="14784" y="214"/>
                                </a:lnTo>
                                <a:lnTo>
                                  <a:pt x="15183" y="5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6.785889pt;margin-top:12.932119pt;width:32.7pt;height:32.7pt;mso-position-horizontal-relative:page;mso-position-vertical-relative:paragraph;z-index:15730176" id="docshapegroup4" coordorigin="6736,259" coordsize="654,654">
                <v:shape style="position:absolute;left:6735;top:258;width:654;height:654" id="docshape5" coordorigin="6736,259" coordsize="654,654" path="m7293,912l6832,912,6794,904,6764,884,6743,853,6736,816,6736,355,6743,317,6764,287,6794,266,6832,259,7293,259,7330,266,7361,287,7381,317,7389,355,7389,816,7381,853,7361,884,7330,904,7293,912xe" filled="true" fillcolor="#00a8ab" stroked="false">
                  <v:path arrowok="t"/>
                  <v:fill type="solid"/>
                </v:shape>
                <v:shape style="position:absolute;left:6965;top:352;width:260;height:313" type="#_x0000_t75" id="docshape6" stroked="false">
                  <v:imagedata r:id="rId8" o:title=""/>
                </v:shape>
                <v:shape style="position:absolute;left:6945;top:714;width:80;height:105" id="docshape7" coordorigin="6945,714" coordsize="80,105" path="m6979,818l6967,818,6963,818,6955,811,6948,802,6945,790,6946,783,6946,778,6949,765,6954,751,6966,715,6967,715,6966,715,6968,714,6969,715,7007,751,7016,760,7022,771,7025,783,7024,794,7020,804,7009,811,6979,818xm6969,715l6968,715,6969,715,6969,71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D1D1B"/>
          <w:spacing w:val="-2"/>
        </w:rPr>
        <w:t>Dawkowanie:</w:t>
      </w:r>
    </w:p>
    <w:p>
      <w:pPr>
        <w:spacing w:before="35"/>
        <w:ind w:left="171" w:right="0" w:firstLine="0"/>
        <w:jc w:val="left"/>
        <w:rPr>
          <w:sz w:val="14"/>
        </w:rPr>
      </w:pPr>
      <w:r>
        <w:rPr>
          <w:color w:val="1D1D1B"/>
          <w:sz w:val="14"/>
        </w:rPr>
        <w:t>Wewnątrz</w:t>
      </w:r>
      <w:r>
        <w:rPr>
          <w:color w:val="1D1D1B"/>
          <w:spacing w:val="-2"/>
          <w:sz w:val="14"/>
        </w:rPr>
        <w:t> </w:t>
      </w:r>
      <w:r>
        <w:rPr>
          <w:color w:val="1D1D1B"/>
          <w:sz w:val="14"/>
        </w:rPr>
        <w:t>budynków</w:t>
      </w:r>
      <w:r>
        <w:rPr>
          <w:color w:val="1D1D1B"/>
          <w:spacing w:val="-1"/>
          <w:sz w:val="14"/>
        </w:rPr>
        <w:t> </w:t>
      </w:r>
      <w:r>
        <w:rPr>
          <w:color w:val="1D1D1B"/>
          <w:sz w:val="14"/>
        </w:rPr>
        <w:t>i</w:t>
      </w:r>
      <w:r>
        <w:rPr>
          <w:color w:val="1D1D1B"/>
          <w:spacing w:val="-1"/>
          <w:sz w:val="14"/>
        </w:rPr>
        <w:t> </w:t>
      </w:r>
      <w:r>
        <w:rPr>
          <w:color w:val="1D1D1B"/>
          <w:sz w:val="14"/>
        </w:rPr>
        <w:t>wokół</w:t>
      </w:r>
      <w:r>
        <w:rPr>
          <w:color w:val="1D1D1B"/>
          <w:spacing w:val="-1"/>
          <w:sz w:val="14"/>
        </w:rPr>
        <w:t> </w:t>
      </w:r>
      <w:r>
        <w:rPr>
          <w:color w:val="1D1D1B"/>
          <w:spacing w:val="-2"/>
          <w:sz w:val="14"/>
        </w:rPr>
        <w:t>budynków:</w:t>
      </w:r>
    </w:p>
    <w:p>
      <w:pPr>
        <w:pStyle w:val="ListParagraph"/>
        <w:numPr>
          <w:ilvl w:val="0"/>
          <w:numId w:val="1"/>
        </w:numPr>
        <w:tabs>
          <w:tab w:pos="285" w:val="left" w:leader="none"/>
        </w:tabs>
        <w:spacing w:line="240" w:lineRule="auto" w:before="40" w:after="0"/>
        <w:ind w:left="285" w:right="0" w:hanging="77"/>
        <w:jc w:val="left"/>
        <w:rPr>
          <w:color w:val="1D1D1B"/>
          <w:sz w:val="14"/>
        </w:rPr>
      </w:pPr>
      <w:r>
        <w:rPr>
          <w:color w:val="1D1D1B"/>
          <w:spacing w:val="-4"/>
          <w:sz w:val="14"/>
        </w:rPr>
        <w:t>Szczury: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100–200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g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na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punkt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wyłożenia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przynęty.</w:t>
      </w:r>
    </w:p>
    <w:p>
      <w:pPr>
        <w:pStyle w:val="ListParagraph"/>
        <w:numPr>
          <w:ilvl w:val="0"/>
          <w:numId w:val="1"/>
        </w:numPr>
        <w:tabs>
          <w:tab w:pos="284" w:val="left" w:leader="none"/>
        </w:tabs>
        <w:spacing w:line="295" w:lineRule="auto" w:before="40" w:after="0"/>
        <w:ind w:left="171" w:right="492" w:firstLine="36"/>
        <w:jc w:val="left"/>
        <w:rPr>
          <w:color w:val="1D1D1B"/>
          <w:sz w:val="14"/>
        </w:rPr>
      </w:pPr>
      <w:r>
        <w:rPr>
          <w:color w:val="1D1D1B"/>
          <w:spacing w:val="-2"/>
          <w:sz w:val="14"/>
        </w:rPr>
        <w:t>Myszy:</w:t>
      </w:r>
      <w:r>
        <w:rPr>
          <w:color w:val="1D1D1B"/>
          <w:spacing w:val="-13"/>
          <w:sz w:val="14"/>
        </w:rPr>
        <w:t> </w:t>
      </w:r>
      <w:r>
        <w:rPr>
          <w:color w:val="1D1D1B"/>
          <w:spacing w:val="-2"/>
          <w:sz w:val="14"/>
        </w:rPr>
        <w:t>60–100</w:t>
      </w:r>
      <w:r>
        <w:rPr>
          <w:color w:val="1D1D1B"/>
          <w:spacing w:val="-13"/>
          <w:sz w:val="14"/>
        </w:rPr>
        <w:t> </w:t>
      </w:r>
      <w:r>
        <w:rPr>
          <w:color w:val="1D1D1B"/>
          <w:spacing w:val="-2"/>
          <w:sz w:val="14"/>
        </w:rPr>
        <w:t>g</w:t>
      </w:r>
      <w:r>
        <w:rPr>
          <w:color w:val="1D1D1B"/>
          <w:spacing w:val="-13"/>
          <w:sz w:val="14"/>
        </w:rPr>
        <w:t> </w:t>
      </w:r>
      <w:r>
        <w:rPr>
          <w:color w:val="1D1D1B"/>
          <w:spacing w:val="-2"/>
          <w:sz w:val="14"/>
        </w:rPr>
        <w:t>na</w:t>
      </w:r>
      <w:r>
        <w:rPr>
          <w:color w:val="1D1D1B"/>
          <w:spacing w:val="-13"/>
          <w:sz w:val="14"/>
        </w:rPr>
        <w:t> </w:t>
      </w:r>
      <w:r>
        <w:rPr>
          <w:color w:val="1D1D1B"/>
          <w:spacing w:val="-2"/>
          <w:sz w:val="14"/>
        </w:rPr>
        <w:t>punkt</w:t>
      </w:r>
      <w:r>
        <w:rPr>
          <w:color w:val="1D1D1B"/>
          <w:spacing w:val="-13"/>
          <w:sz w:val="14"/>
        </w:rPr>
        <w:t> </w:t>
      </w:r>
      <w:r>
        <w:rPr>
          <w:color w:val="1D1D1B"/>
          <w:spacing w:val="-2"/>
          <w:sz w:val="14"/>
        </w:rPr>
        <w:t>wyłożenia</w:t>
      </w:r>
      <w:r>
        <w:rPr>
          <w:color w:val="1D1D1B"/>
          <w:spacing w:val="-13"/>
          <w:sz w:val="14"/>
        </w:rPr>
        <w:t> </w:t>
      </w:r>
      <w:r>
        <w:rPr>
          <w:color w:val="1D1D1B"/>
          <w:spacing w:val="-2"/>
          <w:sz w:val="14"/>
        </w:rPr>
        <w:t>przynęty. </w:t>
      </w:r>
      <w:r>
        <w:rPr>
          <w:color w:val="1D1D1B"/>
          <w:sz w:val="14"/>
        </w:rPr>
        <w:t>Tereny otwarte i składowiska odpadów:</w:t>
      </w:r>
    </w:p>
    <w:p>
      <w:pPr>
        <w:pStyle w:val="ListParagraph"/>
        <w:numPr>
          <w:ilvl w:val="0"/>
          <w:numId w:val="1"/>
        </w:numPr>
        <w:tabs>
          <w:tab w:pos="285" w:val="left" w:leader="none"/>
        </w:tabs>
        <w:spacing w:line="240" w:lineRule="auto" w:before="1" w:after="0"/>
        <w:ind w:left="285" w:right="0" w:hanging="77"/>
        <w:jc w:val="left"/>
        <w:rPr>
          <w:color w:val="1D1D1B"/>
          <w:sz w:val="14"/>
        </w:rPr>
      </w:pPr>
      <w:r>
        <w:rPr>
          <w:color w:val="1D1D1B"/>
          <w:spacing w:val="-4"/>
          <w:sz w:val="14"/>
        </w:rPr>
        <w:t>Szczury: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100–200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g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na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punkt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wyłożenia</w:t>
      </w:r>
      <w:r>
        <w:rPr>
          <w:color w:val="1D1D1B"/>
          <w:spacing w:val="-7"/>
          <w:sz w:val="14"/>
        </w:rPr>
        <w:t> </w:t>
      </w:r>
      <w:r>
        <w:rPr>
          <w:color w:val="1D1D1B"/>
          <w:spacing w:val="-4"/>
          <w:sz w:val="14"/>
        </w:rPr>
        <w:t>przynęty.</w:t>
      </w:r>
    </w:p>
    <w:p>
      <w:pPr>
        <w:pStyle w:val="BodyText"/>
        <w:rPr>
          <w:sz w:val="14"/>
        </w:rPr>
      </w:pPr>
    </w:p>
    <w:p>
      <w:pPr>
        <w:pStyle w:val="BodyText"/>
        <w:spacing w:before="90"/>
        <w:rPr>
          <w:sz w:val="14"/>
        </w:rPr>
      </w:pPr>
    </w:p>
    <w:p>
      <w:pPr>
        <w:pStyle w:val="Heading2"/>
        <w:spacing w:before="0"/>
        <w:ind w:left="167"/>
      </w:pPr>
      <w:r>
        <w:rPr>
          <w:color w:val="1D1D1B"/>
          <w:spacing w:val="-2"/>
        </w:rPr>
        <w:t>Opakowanie:</w:t>
      </w:r>
    </w:p>
    <w:p>
      <w:pPr>
        <w:pStyle w:val="BodyText"/>
        <w:spacing w:before="90"/>
        <w:ind w:left="171"/>
      </w:pPr>
      <w:r>
        <w:rPr>
          <w:color w:val="1D1D1B"/>
          <w:spacing w:val="-2"/>
          <w:w w:val="80"/>
        </w:rPr>
        <w:t>10</w:t>
      </w:r>
      <w:r>
        <w:rPr>
          <w:color w:val="1D1D1B"/>
          <w:spacing w:val="-12"/>
        </w:rPr>
        <w:t> </w:t>
      </w:r>
      <w:r>
        <w:rPr>
          <w:color w:val="1D1D1B"/>
          <w:spacing w:val="-5"/>
        </w:rPr>
        <w:t>kg</w:t>
      </w:r>
    </w:p>
    <w:p>
      <w:pPr>
        <w:pStyle w:val="BodyText"/>
        <w:spacing w:after="0"/>
        <w:sectPr>
          <w:type w:val="continuous"/>
          <w:pgSz w:w="11910" w:h="16850"/>
          <w:pgMar w:top="0" w:bottom="0" w:left="283" w:right="141"/>
          <w:cols w:num="2" w:equalWidth="0">
            <w:col w:w="6222" w:space="1289"/>
            <w:col w:w="3975"/>
          </w:cols>
        </w:sectPr>
      </w:pPr>
    </w:p>
    <w:p>
      <w:pPr>
        <w:pStyle w:val="BodyText"/>
        <w:spacing w:line="264" w:lineRule="auto" w:before="34"/>
        <w:ind w:left="176" w:right="52"/>
        <w:jc w:val="both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397529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397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B"/>
        </w:rPr>
        <w:t>Luźne ziarno, dlatego przynętę należy umieszczać w karmniku deratyzacyjnym przy użyciu dozownika. W celu ograniczenia powstawania pyłu należy używać wilgotnej ściereczki. Produkt dostarczany jest w postaci gotowej do użycia. Przynęty umieszczać na trasach przemieszczania się szczurów lub w miejscach gniazdowania. Należy stosować ilość odpowiednią do liczebności i częstotliwości występowania gryzoni. Uzupełniać zjedzoną przynętę aż do całkowitego wytępienia populacji gryzoni. W miarę możliwości karmnik deratyzacyjny należy przymocować do podłoża lub innych konstrukcji. Przynęty muszą być zabezpieczone w taki sposób, aby nie mogły zostać wyciągnięte z karmnika deratyzacyjnego. Karmniki deratyzacyjne należy umieszczać poza zasięgiem dzieci, ptaków, zwierząt domowych, zwierząt gospodarskich oraz innych organizmów niebędących celem zwalczania. Jeżeli po 35 dniach stosowania przynęta nadal jest</w:t>
      </w:r>
      <w:r>
        <w:rPr>
          <w:color w:val="1D1D1B"/>
          <w:spacing w:val="-6"/>
        </w:rPr>
        <w:t> </w:t>
      </w:r>
      <w:r>
        <w:rPr>
          <w:color w:val="1D1D1B"/>
        </w:rPr>
        <w:t>pobierana,</w:t>
      </w:r>
      <w:r>
        <w:rPr>
          <w:color w:val="1D1D1B"/>
          <w:spacing w:val="-6"/>
        </w:rPr>
        <w:t> </w:t>
      </w:r>
      <w:r>
        <w:rPr>
          <w:color w:val="1D1D1B"/>
        </w:rPr>
        <w:t>a</w:t>
      </w:r>
      <w:r>
        <w:rPr>
          <w:color w:val="1D1D1B"/>
          <w:spacing w:val="-6"/>
        </w:rPr>
        <w:t> </w:t>
      </w:r>
      <w:r>
        <w:rPr>
          <w:color w:val="1D1D1B"/>
        </w:rPr>
        <w:t>aktywność</w:t>
      </w:r>
      <w:r>
        <w:rPr>
          <w:color w:val="1D1D1B"/>
          <w:spacing w:val="-6"/>
        </w:rPr>
        <w:t> </w:t>
      </w:r>
      <w:r>
        <w:rPr>
          <w:color w:val="1D1D1B"/>
        </w:rPr>
        <w:t>gryzoni</w:t>
      </w:r>
      <w:r>
        <w:rPr>
          <w:color w:val="1D1D1B"/>
          <w:spacing w:val="-6"/>
        </w:rPr>
        <w:t> </w:t>
      </w:r>
      <w:r>
        <w:rPr>
          <w:color w:val="1D1D1B"/>
        </w:rPr>
        <w:t>nie</w:t>
      </w:r>
      <w:r>
        <w:rPr>
          <w:color w:val="1D1D1B"/>
          <w:spacing w:val="-6"/>
        </w:rPr>
        <w:t> </w:t>
      </w:r>
      <w:r>
        <w:rPr>
          <w:color w:val="1D1D1B"/>
        </w:rPr>
        <w:t>zmniejsza</w:t>
      </w:r>
      <w:r>
        <w:rPr>
          <w:color w:val="1D1D1B"/>
          <w:spacing w:val="-6"/>
        </w:rPr>
        <w:t> </w:t>
      </w:r>
      <w:r>
        <w:rPr>
          <w:color w:val="1D1D1B"/>
        </w:rPr>
        <w:t>się,</w:t>
      </w:r>
      <w:r>
        <w:rPr>
          <w:color w:val="1D1D1B"/>
          <w:spacing w:val="-6"/>
        </w:rPr>
        <w:t> </w:t>
      </w:r>
      <w:r>
        <w:rPr>
          <w:color w:val="1D1D1B"/>
        </w:rPr>
        <w:t>należy</w:t>
      </w:r>
      <w:r>
        <w:rPr>
          <w:color w:val="1D1D1B"/>
          <w:spacing w:val="-6"/>
        </w:rPr>
        <w:t> </w:t>
      </w:r>
      <w:r>
        <w:rPr>
          <w:color w:val="1D1D1B"/>
        </w:rPr>
        <w:t>ustalić</w:t>
      </w:r>
      <w:r>
        <w:rPr>
          <w:color w:val="1D1D1B"/>
          <w:spacing w:val="-6"/>
        </w:rPr>
        <w:t> </w:t>
      </w:r>
      <w:r>
        <w:rPr>
          <w:color w:val="1D1D1B"/>
        </w:rPr>
        <w:t>przyczynę</w:t>
      </w:r>
      <w:r>
        <w:rPr>
          <w:color w:val="1D1D1B"/>
          <w:spacing w:val="-6"/>
        </w:rPr>
        <w:t> </w:t>
      </w:r>
      <w:r>
        <w:rPr>
          <w:color w:val="1D1D1B"/>
        </w:rPr>
        <w:t>tego</w:t>
      </w:r>
      <w:r>
        <w:rPr>
          <w:color w:val="1D1D1B"/>
          <w:spacing w:val="-6"/>
        </w:rPr>
        <w:t> </w:t>
      </w:r>
      <w:r>
        <w:rPr>
          <w:color w:val="1D1D1B"/>
        </w:rPr>
        <w:t>zjawiska.</w:t>
      </w:r>
    </w:p>
    <w:p>
      <w:pPr>
        <w:pStyle w:val="BodyText"/>
        <w:spacing w:before="14"/>
      </w:pPr>
    </w:p>
    <w:p>
      <w:pPr>
        <w:pStyle w:val="Heading1"/>
        <w:ind w:left="176"/>
      </w:pPr>
      <w:r>
        <w:rPr>
          <w:color w:val="00A8AB"/>
          <w:spacing w:val="-4"/>
        </w:rPr>
        <w:t>Przechowywanie:</w:t>
      </w:r>
    </w:p>
    <w:p>
      <w:pPr>
        <w:pStyle w:val="BodyText"/>
        <w:spacing w:line="264" w:lineRule="auto" w:before="34"/>
        <w:ind w:left="176" w:right="52"/>
        <w:jc w:val="both"/>
      </w:pPr>
      <w:r>
        <w:rPr>
          <w:color w:val="1D1D1B"/>
        </w:rPr>
        <w:t>Przechowywać zgodnie z obowiązującymi przepisami lokalnymi. Przestrzegać wskazań podanych na etykiecie. Pojemniki przechowywać </w:t>
      </w:r>
      <w:r>
        <w:rPr>
          <w:color w:val="1D1D1B"/>
        </w:rPr>
        <w:t>w temperaturze od 5 do 25°C, w suchym i dobrze wentylowanym miejscu, z dala od źródeł ciepła oraz bezpośredniego światła słonecznego. Przechowywać</w:t>
      </w:r>
      <w:r>
        <w:rPr>
          <w:color w:val="1D1D1B"/>
          <w:spacing w:val="-8"/>
        </w:rPr>
        <w:t> </w:t>
      </w:r>
      <w:r>
        <w:rPr>
          <w:color w:val="1D1D1B"/>
        </w:rPr>
        <w:t>z</w:t>
      </w:r>
      <w:r>
        <w:rPr>
          <w:color w:val="1D1D1B"/>
          <w:spacing w:val="-8"/>
        </w:rPr>
        <w:t> </w:t>
      </w:r>
      <w:r>
        <w:rPr>
          <w:color w:val="1D1D1B"/>
        </w:rPr>
        <w:t>dala</w:t>
      </w:r>
      <w:r>
        <w:rPr>
          <w:color w:val="1D1D1B"/>
          <w:spacing w:val="-8"/>
        </w:rPr>
        <w:t> </w:t>
      </w:r>
      <w:r>
        <w:rPr>
          <w:color w:val="1D1D1B"/>
        </w:rPr>
        <w:t>od</w:t>
      </w:r>
      <w:r>
        <w:rPr>
          <w:color w:val="1D1D1B"/>
          <w:spacing w:val="-8"/>
        </w:rPr>
        <w:t> </w:t>
      </w:r>
      <w:r>
        <w:rPr>
          <w:color w:val="1D1D1B"/>
        </w:rPr>
        <w:t>źródeł</w:t>
      </w:r>
      <w:r>
        <w:rPr>
          <w:color w:val="1D1D1B"/>
          <w:spacing w:val="-8"/>
        </w:rPr>
        <w:t> </w:t>
      </w:r>
      <w:r>
        <w:rPr>
          <w:color w:val="1D1D1B"/>
        </w:rPr>
        <w:t>zapłonu.</w:t>
      </w:r>
      <w:r>
        <w:rPr>
          <w:color w:val="1D1D1B"/>
          <w:spacing w:val="-8"/>
        </w:rPr>
        <w:t> </w:t>
      </w:r>
      <w:r>
        <w:rPr>
          <w:color w:val="1D1D1B"/>
        </w:rPr>
        <w:t>Trzymać</w:t>
      </w:r>
      <w:r>
        <w:rPr>
          <w:color w:val="1D1D1B"/>
          <w:spacing w:val="-8"/>
        </w:rPr>
        <w:t> </w:t>
      </w:r>
      <w:r>
        <w:rPr>
          <w:color w:val="1D1D1B"/>
        </w:rPr>
        <w:t>z</w:t>
      </w:r>
      <w:r>
        <w:rPr>
          <w:color w:val="1D1D1B"/>
          <w:spacing w:val="-8"/>
        </w:rPr>
        <w:t> </w:t>
      </w:r>
      <w:r>
        <w:rPr>
          <w:color w:val="1D1D1B"/>
        </w:rPr>
        <w:t>dala</w:t>
      </w:r>
      <w:r>
        <w:rPr>
          <w:color w:val="1D1D1B"/>
          <w:spacing w:val="-8"/>
        </w:rPr>
        <w:t> </w:t>
      </w:r>
      <w:r>
        <w:rPr>
          <w:color w:val="1D1D1B"/>
        </w:rPr>
        <w:t>od</w:t>
      </w:r>
      <w:r>
        <w:rPr>
          <w:color w:val="1D1D1B"/>
          <w:spacing w:val="-8"/>
        </w:rPr>
        <w:t> </w:t>
      </w:r>
      <w:r>
        <w:rPr>
          <w:color w:val="1D1D1B"/>
        </w:rPr>
        <w:t>środków</w:t>
      </w:r>
      <w:r>
        <w:rPr>
          <w:color w:val="1D1D1B"/>
          <w:spacing w:val="-8"/>
        </w:rPr>
        <w:t> </w:t>
      </w:r>
      <w:r>
        <w:rPr>
          <w:color w:val="1D1D1B"/>
        </w:rPr>
        <w:t>utleniających</w:t>
      </w:r>
      <w:r>
        <w:rPr>
          <w:color w:val="1D1D1B"/>
          <w:spacing w:val="-8"/>
        </w:rPr>
        <w:t> </w:t>
      </w:r>
      <w:r>
        <w:rPr>
          <w:color w:val="1D1D1B"/>
        </w:rPr>
        <w:t>oraz</w:t>
      </w:r>
      <w:r>
        <w:rPr>
          <w:color w:val="1D1D1B"/>
          <w:spacing w:val="-8"/>
        </w:rPr>
        <w:t> </w:t>
      </w:r>
      <w:r>
        <w:rPr>
          <w:color w:val="1D1D1B"/>
        </w:rPr>
        <w:t>substancji</w:t>
      </w:r>
      <w:r>
        <w:rPr>
          <w:color w:val="1D1D1B"/>
          <w:spacing w:val="-8"/>
        </w:rPr>
        <w:t> </w:t>
      </w:r>
      <w:r>
        <w:rPr>
          <w:color w:val="1D1D1B"/>
        </w:rPr>
        <w:t>silnie</w:t>
      </w:r>
      <w:r>
        <w:rPr>
          <w:color w:val="1D1D1B"/>
          <w:spacing w:val="-8"/>
        </w:rPr>
        <w:t> </w:t>
      </w:r>
      <w:r>
        <w:rPr>
          <w:color w:val="1D1D1B"/>
        </w:rPr>
        <w:t>kwaśnych</w:t>
      </w:r>
      <w:r>
        <w:rPr>
          <w:color w:val="1D1D1B"/>
          <w:spacing w:val="-8"/>
        </w:rPr>
        <w:t> </w:t>
      </w:r>
      <w:r>
        <w:rPr>
          <w:color w:val="1D1D1B"/>
        </w:rPr>
        <w:t>lub</w:t>
      </w:r>
      <w:r>
        <w:rPr>
          <w:color w:val="1D1D1B"/>
          <w:spacing w:val="-8"/>
        </w:rPr>
        <w:t> </w:t>
      </w:r>
      <w:r>
        <w:rPr>
          <w:color w:val="1D1D1B"/>
        </w:rPr>
        <w:t>zasadowych.</w:t>
      </w:r>
      <w:r>
        <w:rPr>
          <w:color w:val="1D1D1B"/>
          <w:spacing w:val="-8"/>
        </w:rPr>
        <w:t> </w:t>
      </w:r>
      <w:r>
        <w:rPr>
          <w:color w:val="1D1D1B"/>
        </w:rPr>
        <w:t>Nie</w:t>
      </w:r>
      <w:r>
        <w:rPr>
          <w:color w:val="1D1D1B"/>
          <w:spacing w:val="-8"/>
        </w:rPr>
        <w:t> </w:t>
      </w:r>
      <w:r>
        <w:rPr>
          <w:color w:val="1D1D1B"/>
        </w:rPr>
        <w:t>palić. Nie dopuszczać osób nieupoważnionych. Po otwarciu pojemniki należy ponownie starannie zamknąć i przechowywać w pozycji pionowej, aby zapobiec rozsypaniu lub rozlaniu.</w:t>
      </w:r>
    </w:p>
    <w:p>
      <w:pPr>
        <w:pStyle w:val="BodyText"/>
        <w:tabs>
          <w:tab w:pos="4247" w:val="left" w:leader="none"/>
          <w:tab w:pos="5987" w:val="left" w:leader="none"/>
          <w:tab w:pos="7959" w:val="left" w:leader="none"/>
        </w:tabs>
        <w:spacing w:before="133"/>
        <w:ind w:left="1059"/>
        <w:rPr>
          <w:rFonts w:ascii="Arial MT"/>
        </w:rPr>
      </w:pPr>
      <w:r>
        <w:rPr>
          <w:rFonts w:ascii="Arial MT"/>
        </w:rPr>
        <w:drawing>
          <wp:anchor distT="0" distB="0" distL="0" distR="0" allowOverlap="1" layoutInCell="1" locked="0" behindDoc="1" simplePos="0" relativeHeight="487519744">
            <wp:simplePos x="0" y="0"/>
            <wp:positionH relativeFrom="page">
              <wp:posOffset>2675247</wp:posOffset>
            </wp:positionH>
            <wp:positionV relativeFrom="paragraph">
              <wp:posOffset>160887</wp:posOffset>
            </wp:positionV>
            <wp:extent cx="128254" cy="128755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1" simplePos="0" relativeHeight="487520256">
            <wp:simplePos x="0" y="0"/>
            <wp:positionH relativeFrom="page">
              <wp:posOffset>3788767</wp:posOffset>
            </wp:positionH>
            <wp:positionV relativeFrom="paragraph">
              <wp:posOffset>160887</wp:posOffset>
            </wp:positionV>
            <wp:extent cx="128254" cy="128755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1" simplePos="0" relativeHeight="487521792">
            <wp:simplePos x="0" y="0"/>
            <wp:positionH relativeFrom="page">
              <wp:posOffset>5025216</wp:posOffset>
            </wp:positionH>
            <wp:positionV relativeFrom="paragraph">
              <wp:posOffset>160887</wp:posOffset>
            </wp:positionV>
            <wp:extent cx="128254" cy="128755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254" cy="12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6233778</wp:posOffset>
            </wp:positionH>
            <wp:positionV relativeFrom="paragraph">
              <wp:posOffset>160798</wp:posOffset>
            </wp:positionV>
            <wp:extent cx="129170" cy="12917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70" cy="12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6426182</wp:posOffset>
                </wp:positionH>
                <wp:positionV relativeFrom="paragraph">
                  <wp:posOffset>160238</wp:posOffset>
                </wp:positionV>
                <wp:extent cx="237490" cy="100330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237490" cy="100330"/>
                          <a:chExt cx="237490" cy="100330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7" cy="998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733" y="30999"/>
                            <a:ext cx="98429" cy="688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5.998627pt;margin-top:12.617206pt;width:18.7pt;height:7.9pt;mso-position-horizontal-relative:page;mso-position-vertical-relative:paragraph;z-index:15732736" id="docshapegroup8" coordorigin="10120,252" coordsize="374,158">
                <v:shape style="position:absolute;left:10119;top:252;width:165;height:158" type="#_x0000_t75" id="docshape9" stroked="false">
                  <v:imagedata r:id="rId13" o:title=""/>
                </v:shape>
                <v:shape style="position:absolute;left:10338;top:301;width:155;height:109" type="#_x0000_t75" id="docshape10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rFonts w:ascii="Arial MT"/>
          <w:color w:val="1D1D1B"/>
        </w:rPr>
        <w:t>Derio</w:t>
      </w:r>
      <w:r>
        <w:rPr>
          <w:rFonts w:ascii="Arial MT"/>
          <w:color w:val="1D1D1B"/>
          <w:spacing w:val="6"/>
        </w:rPr>
        <w:t> </w:t>
      </w:r>
      <w:r>
        <w:rPr>
          <w:rFonts w:ascii="Arial MT"/>
          <w:color w:val="1D1D1B"/>
        </w:rPr>
        <w:t>Bidea,</w:t>
      </w:r>
      <w:r>
        <w:rPr>
          <w:rFonts w:ascii="Arial MT"/>
          <w:color w:val="1D1D1B"/>
          <w:spacing w:val="6"/>
        </w:rPr>
        <w:t> </w:t>
      </w:r>
      <w:r>
        <w:rPr>
          <w:rFonts w:ascii="Arial MT"/>
          <w:color w:val="1D1D1B"/>
        </w:rPr>
        <w:t>51</w:t>
      </w:r>
      <w:r>
        <w:rPr>
          <w:rFonts w:ascii="Arial MT"/>
          <w:color w:val="1D1D1B"/>
          <w:spacing w:val="7"/>
        </w:rPr>
        <w:t> </w:t>
      </w:r>
      <w:r>
        <w:rPr>
          <w:rFonts w:ascii="Arial MT"/>
          <w:color w:val="1D1D1B"/>
        </w:rPr>
        <w:t>48100</w:t>
      </w:r>
      <w:r>
        <w:rPr>
          <w:rFonts w:ascii="Arial MT"/>
          <w:color w:val="1D1D1B"/>
          <w:spacing w:val="6"/>
        </w:rPr>
        <w:t> </w:t>
      </w:r>
      <w:r>
        <w:rPr>
          <w:rFonts w:ascii="Arial MT"/>
          <w:color w:val="1D1D1B"/>
        </w:rPr>
        <w:t>Mungia.</w:t>
      </w:r>
      <w:r>
        <w:rPr>
          <w:rFonts w:ascii="Arial MT"/>
          <w:color w:val="1D1D1B"/>
          <w:spacing w:val="6"/>
        </w:rPr>
        <w:t> </w:t>
      </w:r>
      <w:r>
        <w:rPr>
          <w:rFonts w:ascii="Arial MT"/>
          <w:color w:val="1D1D1B"/>
          <w:spacing w:val="-2"/>
        </w:rPr>
        <w:t>Vizcaya</w:t>
      </w:r>
      <w:r>
        <w:rPr>
          <w:rFonts w:ascii="Arial MT"/>
          <w:color w:val="1D1D1B"/>
        </w:rPr>
        <w:tab/>
      </w:r>
      <w:r>
        <w:rPr>
          <w:rFonts w:ascii="Microsoft JhengHei Light"/>
          <w:color w:val="1D1D1B"/>
          <w:position w:val="1"/>
        </w:rPr>
        <w:t>T</w:t>
      </w:r>
      <w:r>
        <w:rPr>
          <w:rFonts w:ascii="Microsoft JhengHei Light"/>
          <w:color w:val="1D1D1B"/>
          <w:spacing w:val="-5"/>
          <w:position w:val="1"/>
        </w:rPr>
        <w:t> </w:t>
      </w:r>
      <w:r>
        <w:rPr>
          <w:rFonts w:ascii="Arial MT"/>
          <w:color w:val="1D1D1B"/>
          <w:position w:val="1"/>
        </w:rPr>
        <w:t>+34</w:t>
      </w:r>
      <w:r>
        <w:rPr>
          <w:rFonts w:ascii="Arial MT"/>
          <w:color w:val="1D1D1B"/>
          <w:spacing w:val="-2"/>
          <w:position w:val="1"/>
        </w:rPr>
        <w:t> </w:t>
      </w:r>
      <w:r>
        <w:rPr>
          <w:rFonts w:ascii="Arial MT"/>
          <w:color w:val="1D1D1B"/>
          <w:position w:val="1"/>
        </w:rPr>
        <w:t>94</w:t>
      </w:r>
      <w:r>
        <w:rPr>
          <w:rFonts w:ascii="Arial MT"/>
          <w:color w:val="1D1D1B"/>
          <w:spacing w:val="-1"/>
          <w:position w:val="1"/>
        </w:rPr>
        <w:t> </w:t>
      </w:r>
      <w:r>
        <w:rPr>
          <w:rFonts w:ascii="Arial MT"/>
          <w:color w:val="1D1D1B"/>
          <w:position w:val="1"/>
        </w:rPr>
        <w:t>674</w:t>
      </w:r>
      <w:r>
        <w:rPr>
          <w:rFonts w:ascii="Arial MT"/>
          <w:color w:val="1D1D1B"/>
          <w:spacing w:val="-2"/>
          <w:position w:val="1"/>
        </w:rPr>
        <w:t> </w:t>
      </w:r>
      <w:r>
        <w:rPr>
          <w:rFonts w:ascii="Arial MT"/>
          <w:color w:val="1D1D1B"/>
          <w:position w:val="1"/>
        </w:rPr>
        <w:t>10</w:t>
      </w:r>
      <w:r>
        <w:rPr>
          <w:rFonts w:ascii="Arial MT"/>
          <w:color w:val="1D1D1B"/>
          <w:spacing w:val="-1"/>
          <w:position w:val="1"/>
        </w:rPr>
        <w:t> </w:t>
      </w:r>
      <w:r>
        <w:rPr>
          <w:rFonts w:ascii="Arial MT"/>
          <w:color w:val="1D1D1B"/>
          <w:spacing w:val="-5"/>
          <w:position w:val="1"/>
        </w:rPr>
        <w:t>85</w:t>
      </w:r>
      <w:r>
        <w:rPr>
          <w:rFonts w:ascii="Arial MT"/>
          <w:color w:val="1D1D1B"/>
          <w:position w:val="1"/>
        </w:rPr>
        <w:tab/>
      </w:r>
      <w:hyperlink r:id="rId15">
        <w:r>
          <w:rPr>
            <w:rFonts w:ascii="Arial MT"/>
            <w:color w:val="1D1D1B"/>
            <w:spacing w:val="-2"/>
          </w:rPr>
          <w:t>info@quimunsa.com</w:t>
        </w:r>
      </w:hyperlink>
      <w:r>
        <w:rPr>
          <w:rFonts w:ascii="Arial MT"/>
          <w:color w:val="1D1D1B"/>
        </w:rPr>
        <w:tab/>
      </w:r>
      <w:hyperlink r:id="rId16">
        <w:r>
          <w:rPr>
            <w:rFonts w:ascii="Arial MT"/>
            <w:color w:val="1D1D1B"/>
            <w:spacing w:val="-2"/>
          </w:rPr>
          <w:t>www.quimunsa.com</w:t>
        </w:r>
      </w:hyperlink>
    </w:p>
    <w:sectPr>
      <w:type w:val="continuous"/>
      <w:pgSz w:w="11910" w:h="1685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  <w:font w:name="Microsoft JhengHei Light">
    <w:altName w:val="Microsoft JhengHei Light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49" w:hanging="146"/>
      </w:pPr>
      <w:rPr>
        <w:rFonts w:hint="default" w:ascii="Verdana" w:hAnsi="Verdana" w:eastAsia="Verdana" w:cs="Verdana"/>
        <w:spacing w:val="0"/>
        <w:w w:val="5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748" w:hanging="14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356" w:hanging="14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964" w:hanging="14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572" w:hanging="14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180" w:hanging="14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3788" w:hanging="14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396" w:hanging="14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5005" w:hanging="146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49"/>
      <w:outlineLvl w:val="1"/>
    </w:pPr>
    <w:rPr>
      <w:rFonts w:ascii="Verdana" w:hAnsi="Verdana" w:eastAsia="Verdana" w:cs="Verdana"/>
      <w:b/>
      <w:bCs/>
      <w:sz w:val="28"/>
      <w:szCs w:val="28"/>
      <w:lang w:val="pl-PL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149"/>
      <w:outlineLvl w:val="2"/>
    </w:pPr>
    <w:rPr>
      <w:rFonts w:ascii="Verdana" w:hAnsi="Verdana" w:eastAsia="Verdana" w:cs="Verdana"/>
      <w:b/>
      <w:bCs/>
      <w:sz w:val="24"/>
      <w:szCs w:val="24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135" w:right="3683"/>
    </w:pPr>
    <w:rPr>
      <w:rFonts w:ascii="Verdana" w:hAnsi="Verdana" w:eastAsia="Verdana" w:cs="Verdana"/>
      <w:b/>
      <w:bCs/>
      <w:sz w:val="48"/>
      <w:szCs w:val="4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49" w:hanging="89"/>
    </w:pPr>
    <w:rPr>
      <w:rFonts w:ascii="Verdana" w:hAnsi="Verdana" w:eastAsia="Verdana" w:cs="Verdana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numbering" Target="numbering.xml"/><Relationship Id="rId2" Type="http://schemas.openxmlformats.org/officeDocument/2006/relationships/fontTable" Target="fontTable.xml"/><Relationship Id="rId16" Type="http://schemas.openxmlformats.org/officeDocument/2006/relationships/hyperlink" Target="http://www.quimunsa.com/" TargetMode="Externa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info@quimunsa.com" TargetMode="External"/><Relationship Id="rId10" Type="http://schemas.openxmlformats.org/officeDocument/2006/relationships/image" Target="media/image6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4104579C77554BA3B1522C6BD713D8" ma:contentTypeVersion="19" ma:contentTypeDescription="Crear nuevo documento." ma:contentTypeScope="" ma:versionID="fc0f63f9027dbe4e24af10a138a0fa21">
  <xsd:schema xmlns:xsd="http://www.w3.org/2001/XMLSchema" xmlns:xs="http://www.w3.org/2001/XMLSchema" xmlns:p="http://schemas.microsoft.com/office/2006/metadata/properties" xmlns:ns2="9fdf84ae-cdbc-479c-9f99-813e2ef6adea" xmlns:ns3="fb28c9e5-d839-469e-8344-b5eb52ed4169" targetNamespace="http://schemas.microsoft.com/office/2006/metadata/properties" ma:root="true" ma:fieldsID="85a70957e37616e12073e4775327a35a" ns2:_="" ns3:_="">
    <xsd:import namespace="9fdf84ae-cdbc-479c-9f99-813e2ef6adea"/>
    <xsd:import namespace="fb28c9e5-d839-469e-8344-b5eb52ed41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f84ae-cdbc-479c-9f99-813e2ef6ad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25d06c0-2caa-483f-a96d-82350f49d856}" ma:internalName="TaxCatchAll" ma:showField="CatchAllData" ma:web="9fdf84ae-cdbc-479c-9f99-813e2ef6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8c9e5-d839-469e-8344-b5eb52ed4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c987f667-7f78-455a-b262-a5ffe313a0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28c9e5-d839-469e-8344-b5eb52ed4169">
      <Terms xmlns="http://schemas.microsoft.com/office/infopath/2007/PartnerControls"/>
    </lcf76f155ced4ddcb4097134ff3c332f>
    <TaxCatchAll xmlns="9fdf84ae-cdbc-479c-9f99-813e2ef6adea" xsi:nil="true"/>
  </documentManagement>
</p:properties>
</file>

<file path=customXml/itemProps1.xml><?xml version="1.0" encoding="utf-8"?>
<ds:datastoreItem xmlns:ds="http://schemas.openxmlformats.org/officeDocument/2006/customXml" ds:itemID="{DB94EE5E-E828-4544-93C0-9A5BF19BE7F5}"/>
</file>

<file path=customXml/itemProps2.xml><?xml version="1.0" encoding="utf-8"?>
<ds:datastoreItem xmlns:ds="http://schemas.openxmlformats.org/officeDocument/2006/customXml" ds:itemID="{D7A21A7A-778D-44F6-A5A4-11FFC2A061D9}"/>
</file>

<file path=customXml/itemProps3.xml><?xml version="1.0" encoding="utf-8"?>
<ds:datastoreItem xmlns:ds="http://schemas.openxmlformats.org/officeDocument/2006/customXml" ds:itemID="{82B4B841-459F-4534-8AEF-E37B8E5F35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TDS_MURIBROM BROMADIOLONE 0,005 GRAIN_POLACO</dc:title>
  <dc:creator>Comerciales QM</dc:creator>
  <cp:keywords>DAHEHB8tQ8U,BAG--MYhq9Q,0</cp:keywords>
  <dcterms:created xsi:type="dcterms:W3CDTF">2026-03-23T12:11:02Z</dcterms:created>
  <dcterms:modified xsi:type="dcterms:W3CDTF">2026-03-23T12:11:02Z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2026-03-16T00:00:00Z</vt:filetime>
  </property>
  <property fmtid="{D5CDD505-2E9C-101B-9397-08002B2CF9AE}" pid="3" name="Creator">
    <vt:lpwstr>Canva</vt:lpwstr>
  </property>
  <property fmtid="{D5CDD505-2E9C-101B-9397-08002B2CF9AE}" pid="4" name="LastSaved">
    <vt:filetime>2026-03-23T00:00:00Z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0x010100764104579C77554BA3B1522C6BD713D8</vt:lpwstr>
  </property>
</Properties>
</file>